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5799" w:rsidRPr="00F4403C" w:rsidRDefault="00697FBD" w:rsidP="00FE5799">
      <w:pPr>
        <w:pStyle w:val="Header"/>
        <w:tabs>
          <w:tab w:val="clear" w:pos="4536"/>
        </w:tabs>
        <w:rPr>
          <w:i/>
          <w:lang w:val="de-DE"/>
        </w:rPr>
      </w:pPr>
      <w:r w:rsidRPr="00697FBD">
        <w:rPr>
          <w:lang w:val="de-DE"/>
        </w:rPr>
        <w:t>3GPP TSG RAN WG1 Meeting #8</w:t>
      </w:r>
      <w:r w:rsidR="000E3961">
        <w:rPr>
          <w:lang w:val="de-DE"/>
        </w:rPr>
        <w:t>6</w:t>
      </w:r>
      <w:r w:rsidRPr="00697FBD">
        <w:rPr>
          <w:lang w:val="de-DE"/>
        </w:rPr>
        <w:tab/>
      </w:r>
      <w:r w:rsidR="00FE5799" w:rsidRPr="00F4403C">
        <w:rPr>
          <w:lang w:val="de-DE"/>
        </w:rPr>
        <w:t>R1-</w:t>
      </w:r>
      <w:r w:rsidR="00F4403C" w:rsidRPr="00F4403C">
        <w:rPr>
          <w:lang w:val="de-DE"/>
        </w:rPr>
        <w:t>1</w:t>
      </w:r>
      <w:r w:rsidR="00EF4A17">
        <w:rPr>
          <w:lang w:val="de-DE"/>
        </w:rPr>
        <w:t>66936</w:t>
      </w:r>
    </w:p>
    <w:p w:rsidR="00FE5799" w:rsidRPr="000833FA" w:rsidRDefault="000E3961" w:rsidP="00FE5799">
      <w:pPr>
        <w:pStyle w:val="Header"/>
        <w:rPr>
          <w:color w:val="000000"/>
        </w:rPr>
      </w:pPr>
      <w:r w:rsidRPr="000E3961">
        <w:t>Gothenburg</w:t>
      </w:r>
      <w:r w:rsidR="00697FBD" w:rsidRPr="00697FBD">
        <w:t xml:space="preserve">, </w:t>
      </w:r>
      <w:r>
        <w:t>Sweden</w:t>
      </w:r>
      <w:r w:rsidR="005F5FAB">
        <w:t>,</w:t>
      </w:r>
      <w:r w:rsidR="00697FBD" w:rsidRPr="00697FBD">
        <w:t xml:space="preserve"> </w:t>
      </w:r>
      <w:r>
        <w:t>22-26 August</w:t>
      </w:r>
      <w:r w:rsidR="00697FBD" w:rsidRPr="00697FBD">
        <w:t xml:space="preserve"> 2016</w:t>
      </w:r>
    </w:p>
    <w:p w:rsidR="00FE5799" w:rsidRPr="000833FA" w:rsidRDefault="00FE5799" w:rsidP="00FE5799">
      <w:pPr>
        <w:pStyle w:val="Header"/>
      </w:pPr>
    </w:p>
    <w:p w:rsidR="00FE5799" w:rsidRPr="0003368D" w:rsidRDefault="00FE5799" w:rsidP="00FE5799">
      <w:pPr>
        <w:pStyle w:val="Header"/>
        <w:tabs>
          <w:tab w:val="clear" w:pos="4536"/>
          <w:tab w:val="left" w:pos="1800"/>
        </w:tabs>
        <w:ind w:left="1800" w:hanging="1800"/>
      </w:pPr>
      <w:r w:rsidRPr="0003368D">
        <w:t>Source:</w:t>
      </w:r>
      <w:r w:rsidRPr="0003368D">
        <w:tab/>
        <w:t>Ericsson</w:t>
      </w:r>
    </w:p>
    <w:p w:rsidR="00FE5799" w:rsidRPr="00F64D4A" w:rsidRDefault="00FE5799" w:rsidP="00253F4D">
      <w:pPr>
        <w:pStyle w:val="Header"/>
        <w:tabs>
          <w:tab w:val="clear" w:pos="4536"/>
          <w:tab w:val="left" w:pos="1800"/>
        </w:tabs>
        <w:ind w:left="1800" w:hanging="1800"/>
      </w:pPr>
      <w:r w:rsidRPr="0003368D">
        <w:t>Title:</w:t>
      </w:r>
      <w:bookmarkStart w:id="0" w:name="Title"/>
      <w:bookmarkEnd w:id="0"/>
      <w:r w:rsidRPr="0003368D">
        <w:tab/>
      </w:r>
      <w:r w:rsidR="00B82A22" w:rsidRPr="00B82A22">
        <w:t>Survey of Channel Coding Implementations</w:t>
      </w:r>
    </w:p>
    <w:p w:rsidR="00FE5799" w:rsidRPr="0003368D" w:rsidRDefault="00FE5799" w:rsidP="00FE5799">
      <w:pPr>
        <w:pStyle w:val="Header"/>
        <w:tabs>
          <w:tab w:val="left" w:pos="1800"/>
        </w:tabs>
      </w:pPr>
      <w:r w:rsidRPr="0003368D">
        <w:t>Agenda Item:</w:t>
      </w:r>
      <w:bookmarkStart w:id="1" w:name="Source"/>
      <w:bookmarkEnd w:id="1"/>
      <w:r w:rsidRPr="0003368D">
        <w:tab/>
      </w:r>
      <w:r w:rsidR="00EF4A17">
        <w:t>8</w:t>
      </w:r>
      <w:bookmarkStart w:id="2" w:name="_GoBack"/>
      <w:bookmarkEnd w:id="2"/>
      <w:r w:rsidR="00A83845">
        <w:t>.</w:t>
      </w:r>
      <w:r w:rsidR="00EF4A17">
        <w:t>1.4.1</w:t>
      </w:r>
    </w:p>
    <w:p w:rsidR="00FE5799" w:rsidRPr="0003368D" w:rsidRDefault="00FE5799" w:rsidP="00FE5799">
      <w:pPr>
        <w:pStyle w:val="Header"/>
        <w:tabs>
          <w:tab w:val="left" w:pos="1800"/>
        </w:tabs>
      </w:pPr>
      <w:r w:rsidRPr="0003368D">
        <w:t>Document for:</w:t>
      </w:r>
      <w:r w:rsidRPr="0003368D">
        <w:tab/>
      </w:r>
      <w:bookmarkStart w:id="3" w:name="DocumentFor"/>
      <w:bookmarkEnd w:id="3"/>
      <w:r w:rsidRPr="0003368D">
        <w:t xml:space="preserve">Discussion </w:t>
      </w:r>
      <w:r>
        <w:t>and Decision</w:t>
      </w:r>
    </w:p>
    <w:p w:rsidR="00FE5799" w:rsidRPr="002100D2" w:rsidRDefault="00FE5799" w:rsidP="00FE5799">
      <w:pPr>
        <w:pBdr>
          <w:bottom w:val="single" w:sz="4" w:space="1" w:color="auto"/>
        </w:pBdr>
        <w:tabs>
          <w:tab w:val="left" w:pos="2552"/>
        </w:tabs>
      </w:pPr>
    </w:p>
    <w:p w:rsidR="00FE5799" w:rsidRDefault="00D64311" w:rsidP="00FE5799">
      <w:pPr>
        <w:pStyle w:val="Heading1"/>
      </w:pPr>
      <w:r>
        <w:t>Introduction</w:t>
      </w:r>
    </w:p>
    <w:p w:rsidR="00F4793E" w:rsidRPr="00CD4CB5" w:rsidRDefault="00DC0BC6" w:rsidP="009D1F04">
      <w:pPr>
        <w:pStyle w:val="BodyText"/>
        <w:rPr>
          <w:lang w:eastAsia="ja-JP"/>
        </w:rPr>
      </w:pPr>
      <w:r>
        <w:t>In RAN#</w:t>
      </w:r>
      <w:r w:rsidR="00541107">
        <w:t>85</w:t>
      </w:r>
      <w:r>
        <w:t xml:space="preserve">, </w:t>
      </w:r>
      <w:r w:rsidR="00DB65FD">
        <w:t xml:space="preserve">companies were encouraged to perform </w:t>
      </w:r>
      <w:r w:rsidR="00F4793E">
        <w:rPr>
          <w:bCs/>
          <w:lang w:eastAsia="ja-JP"/>
        </w:rPr>
        <w:t>e</w:t>
      </w:r>
      <w:r w:rsidR="00F4793E" w:rsidRPr="00CD4CB5">
        <w:rPr>
          <w:bCs/>
          <w:lang w:eastAsia="ja-JP"/>
        </w:rPr>
        <w:t xml:space="preserve">valuations of the complexity of channel coding </w:t>
      </w:r>
      <w:r w:rsidR="00F4793E">
        <w:rPr>
          <w:bCs/>
          <w:lang w:eastAsia="ja-JP"/>
        </w:rPr>
        <w:t xml:space="preserve">/ HARQ </w:t>
      </w:r>
      <w:r w:rsidR="00F4793E" w:rsidRPr="00CD4CB5">
        <w:rPr>
          <w:bCs/>
          <w:lang w:eastAsia="ja-JP"/>
        </w:rPr>
        <w:t xml:space="preserve">schemes </w:t>
      </w:r>
      <w:r w:rsidR="00F4793E">
        <w:rPr>
          <w:bCs/>
          <w:lang w:eastAsia="ja-JP"/>
        </w:rPr>
        <w:t>including</w:t>
      </w:r>
      <w:r w:rsidR="00F4793E" w:rsidRPr="00CD4CB5">
        <w:rPr>
          <w:bCs/>
          <w:lang w:eastAsia="ja-JP"/>
        </w:rPr>
        <w:t xml:space="preserve"> at least</w:t>
      </w:r>
      <w:r w:rsidR="00F4793E">
        <w:rPr>
          <w:bCs/>
          <w:lang w:eastAsia="ja-JP"/>
        </w:rPr>
        <w:t>:</w:t>
      </w:r>
    </w:p>
    <w:p w:rsidR="00F4793E" w:rsidRDefault="00F4793E" w:rsidP="00F4793E">
      <w:pPr>
        <w:numPr>
          <w:ilvl w:val="1"/>
          <w:numId w:val="14"/>
        </w:numPr>
        <w:rPr>
          <w:rFonts w:eastAsia="MS Mincho"/>
          <w:lang w:eastAsia="ja-JP"/>
        </w:rPr>
      </w:pPr>
      <w:r>
        <w:rPr>
          <w:rFonts w:eastAsia="MS Mincho"/>
          <w:bCs/>
          <w:lang w:eastAsia="ja-JP"/>
        </w:rPr>
        <w:t>E</w:t>
      </w:r>
      <w:r w:rsidRPr="00CD4CB5">
        <w:rPr>
          <w:rFonts w:eastAsia="MS Mincho"/>
          <w:lang w:eastAsia="ja-JP"/>
        </w:rPr>
        <w:t>nergy efficiency</w:t>
      </w:r>
      <w:r>
        <w:rPr>
          <w:rFonts w:eastAsia="MS Mincho"/>
          <w:lang w:eastAsia="ja-JP"/>
        </w:rPr>
        <w:t xml:space="preserve"> (J/bit)</w:t>
      </w:r>
    </w:p>
    <w:p w:rsidR="00F4793E" w:rsidRDefault="00F4793E" w:rsidP="00F4793E">
      <w:pPr>
        <w:numPr>
          <w:ilvl w:val="1"/>
          <w:numId w:val="14"/>
        </w:numPr>
        <w:rPr>
          <w:rFonts w:eastAsia="MS Mincho"/>
          <w:lang w:eastAsia="ja-JP"/>
        </w:rPr>
      </w:pPr>
      <w:r w:rsidRPr="00CD4CB5">
        <w:rPr>
          <w:rFonts w:eastAsia="MS Mincho"/>
          <w:lang w:eastAsia="ja-JP"/>
        </w:rPr>
        <w:t>Area efficiency</w:t>
      </w:r>
      <w:r>
        <w:rPr>
          <w:rFonts w:eastAsia="MS Mincho"/>
          <w:lang w:eastAsia="ja-JP"/>
        </w:rPr>
        <w:t xml:space="preserve"> </w:t>
      </w:r>
      <w:r w:rsidRPr="00CD4CB5">
        <w:rPr>
          <w:rFonts w:eastAsia="MS Mincho"/>
          <w:lang w:eastAsia="ja-JP"/>
        </w:rPr>
        <w:t>(</w:t>
      </w:r>
      <w:proofErr w:type="spellStart"/>
      <w:r w:rsidRPr="00CD4CB5">
        <w:rPr>
          <w:rFonts w:eastAsia="MS Mincho"/>
          <w:lang w:eastAsia="ja-JP"/>
        </w:rPr>
        <w:t>Gbps</w:t>
      </w:r>
      <w:proofErr w:type="spellEnd"/>
      <w:r w:rsidRPr="00CD4CB5">
        <w:rPr>
          <w:rFonts w:eastAsia="MS Mincho"/>
          <w:lang w:eastAsia="ja-JP"/>
        </w:rPr>
        <w:t>/mm</w:t>
      </w:r>
      <w:r w:rsidRPr="00CD4CB5">
        <w:rPr>
          <w:rFonts w:eastAsia="MS Mincho"/>
          <w:vertAlign w:val="superscript"/>
          <w:lang w:eastAsia="ja-JP"/>
        </w:rPr>
        <w:t>2</w:t>
      </w:r>
      <w:r>
        <w:rPr>
          <w:rFonts w:eastAsia="MS Mincho"/>
          <w:lang w:eastAsia="ja-JP"/>
        </w:rPr>
        <w:t>)</w:t>
      </w:r>
    </w:p>
    <w:p w:rsidR="00DB65FD" w:rsidRDefault="00DB65FD" w:rsidP="00DB65FD">
      <w:pPr>
        <w:rPr>
          <w:rFonts w:eastAsia="MS Mincho"/>
          <w:lang w:eastAsia="ja-JP"/>
        </w:rPr>
      </w:pPr>
    </w:p>
    <w:p w:rsidR="00F4793E" w:rsidRDefault="00DB65FD" w:rsidP="00DB65FD">
      <w:pPr>
        <w:rPr>
          <w:rFonts w:eastAsia="MS Mincho"/>
          <w:lang w:eastAsia="ja-JP"/>
        </w:rPr>
      </w:pPr>
      <w:r>
        <w:rPr>
          <w:rFonts w:eastAsia="MS Mincho"/>
          <w:lang w:eastAsia="ja-JP"/>
        </w:rPr>
        <w:t>It was agreed that the implementation evaluation should consider:</w:t>
      </w:r>
    </w:p>
    <w:p w:rsidR="00F4793E" w:rsidRDefault="00F4793E" w:rsidP="00F4793E">
      <w:pPr>
        <w:numPr>
          <w:ilvl w:val="0"/>
          <w:numId w:val="14"/>
        </w:numPr>
        <w:rPr>
          <w:rFonts w:eastAsia="MS Mincho"/>
          <w:lang w:eastAsia="ja-JP"/>
        </w:rPr>
      </w:pPr>
      <w:r w:rsidRPr="00CD4CB5">
        <w:rPr>
          <w:rFonts w:eastAsia="MS Mincho"/>
          <w:lang w:eastAsia="ja-JP"/>
        </w:rPr>
        <w:t xml:space="preserve">FEC complexity supporting </w:t>
      </w:r>
      <w:r>
        <w:rPr>
          <w:rFonts w:eastAsia="MS Mincho"/>
          <w:lang w:eastAsia="ja-JP"/>
        </w:rPr>
        <w:t>the full range of</w:t>
      </w:r>
      <w:r w:rsidRPr="00CD4CB5">
        <w:rPr>
          <w:rFonts w:eastAsia="MS Mincho"/>
          <w:lang w:eastAsia="ja-JP"/>
        </w:rPr>
        <w:t xml:space="preserve"> info </w:t>
      </w:r>
      <w:r>
        <w:rPr>
          <w:rFonts w:eastAsia="MS Mincho"/>
          <w:lang w:eastAsia="ja-JP"/>
        </w:rPr>
        <w:t xml:space="preserve">block </w:t>
      </w:r>
      <w:r w:rsidRPr="00CD4CB5">
        <w:rPr>
          <w:rFonts w:eastAsia="MS Mincho"/>
          <w:lang w:eastAsia="ja-JP"/>
        </w:rPr>
        <w:t>lengths</w:t>
      </w:r>
      <w:r>
        <w:rPr>
          <w:rFonts w:eastAsia="MS Mincho"/>
          <w:lang w:eastAsia="ja-JP"/>
        </w:rPr>
        <w:t xml:space="preserve"> </w:t>
      </w:r>
      <w:r w:rsidRPr="00CD4CB5">
        <w:rPr>
          <w:rFonts w:eastAsia="MS Mincho"/>
          <w:lang w:eastAsia="ja-JP"/>
        </w:rPr>
        <w:t xml:space="preserve">and code rates </w:t>
      </w:r>
      <w:r>
        <w:rPr>
          <w:rFonts w:eastAsia="MS Mincho"/>
          <w:lang w:eastAsia="ja-JP"/>
        </w:rPr>
        <w:t xml:space="preserve">with reasonable (details FFS) granularity </w:t>
      </w:r>
      <w:r w:rsidRPr="00CD4CB5">
        <w:rPr>
          <w:rFonts w:eastAsia="MS Mincho"/>
          <w:lang w:eastAsia="ja-JP"/>
        </w:rPr>
        <w:t xml:space="preserve">should be compared instead of single info </w:t>
      </w:r>
      <w:r>
        <w:rPr>
          <w:rFonts w:eastAsia="MS Mincho"/>
          <w:lang w:eastAsia="ja-JP"/>
        </w:rPr>
        <w:t>block length with some code rate</w:t>
      </w:r>
    </w:p>
    <w:p w:rsidR="00F4793E" w:rsidRPr="00CD4CB5" w:rsidRDefault="00F4793E" w:rsidP="00F4793E">
      <w:pPr>
        <w:numPr>
          <w:ilvl w:val="1"/>
          <w:numId w:val="14"/>
        </w:numPr>
        <w:rPr>
          <w:rFonts w:eastAsia="MS Mincho"/>
          <w:lang w:eastAsia="ja-JP"/>
        </w:rPr>
      </w:pPr>
      <w:r>
        <w:rPr>
          <w:rFonts w:eastAsia="MS Mincho"/>
          <w:lang w:eastAsia="ja-JP"/>
        </w:rPr>
        <w:t>Companies should provide details of the range of info block lengths and code rates for which their complexity evaluations are conducted</w:t>
      </w:r>
    </w:p>
    <w:p w:rsidR="00DB65FD" w:rsidRDefault="00DB65FD" w:rsidP="00B452B7">
      <w:pPr>
        <w:pStyle w:val="BodyText"/>
      </w:pPr>
    </w:p>
    <w:p w:rsidR="00B452B7" w:rsidRPr="00874A57" w:rsidRDefault="00B452B7" w:rsidP="00B452B7">
      <w:pPr>
        <w:pStyle w:val="BodyText"/>
      </w:pPr>
      <w:r>
        <w:t xml:space="preserve">In this paper, we </w:t>
      </w:r>
      <w:r w:rsidR="00DB65FD">
        <w:t>present implementation efficiency comparisons</w:t>
      </w:r>
      <w:r>
        <w:t xml:space="preserve"> </w:t>
      </w:r>
      <w:r w:rsidR="00DB65FD">
        <w:t>between turbo decoders, LDPC decoders, and Polar list decoders.</w:t>
      </w:r>
    </w:p>
    <w:p w:rsidR="00525ED9" w:rsidRPr="00874A57" w:rsidRDefault="00525ED9" w:rsidP="00525ED9">
      <w:pPr>
        <w:pStyle w:val="BodyText"/>
      </w:pPr>
      <w:r>
        <w:t xml:space="preserve"> </w:t>
      </w:r>
    </w:p>
    <w:p w:rsidR="008B2DCC" w:rsidRDefault="008B2DCC" w:rsidP="008B2DCC">
      <w:pPr>
        <w:pStyle w:val="Heading1"/>
      </w:pPr>
      <w:r>
        <w:t>Comparison</w:t>
      </w:r>
      <w:r w:rsidR="00322699">
        <w:t xml:space="preserve"> of ASIC Implementations</w:t>
      </w:r>
    </w:p>
    <w:p w:rsidR="008E3A0F" w:rsidRPr="008E3A0F" w:rsidRDefault="008E3A0F" w:rsidP="008E3A0F">
      <w:pPr>
        <w:pStyle w:val="Heading2"/>
        <w:tabs>
          <w:tab w:val="clear" w:pos="3447"/>
        </w:tabs>
        <w:ind w:left="562" w:hanging="562"/>
        <w:rPr>
          <w:sz w:val="22"/>
        </w:rPr>
      </w:pPr>
      <w:r w:rsidRPr="008E3A0F">
        <w:rPr>
          <w:sz w:val="22"/>
        </w:rPr>
        <w:t>Published hardware implementations</w:t>
      </w:r>
    </w:p>
    <w:p w:rsidR="008E3A0F" w:rsidRPr="00C267C8" w:rsidRDefault="008E3A0F" w:rsidP="008E3A0F">
      <w:pPr>
        <w:pStyle w:val="BodyText"/>
      </w:pPr>
      <w:r>
        <w:t xml:space="preserve">In the </w:t>
      </w:r>
      <w:r w:rsidR="00D74954">
        <w:t>section</w:t>
      </w:r>
      <w:r>
        <w:t>, we list the published hardware implementations used in comparison.</w:t>
      </w:r>
    </w:p>
    <w:p w:rsidR="008E3A0F" w:rsidRPr="008E3A0F" w:rsidRDefault="008E3A0F" w:rsidP="008E3A0F">
      <w:pPr>
        <w:pStyle w:val="Heading3"/>
        <w:ind w:left="720" w:hanging="720"/>
        <w:rPr>
          <w:sz w:val="20"/>
        </w:rPr>
      </w:pPr>
      <w:r w:rsidRPr="008E3A0F">
        <w:rPr>
          <w:sz w:val="20"/>
        </w:rPr>
        <w:t>Turbo implementations</w:t>
      </w:r>
    </w:p>
    <w:p w:rsidR="008E3A0F" w:rsidRPr="00C267C8" w:rsidRDefault="008E3A0F" w:rsidP="008E3A0F">
      <w:pPr>
        <w:pStyle w:val="BodyText"/>
      </w:pPr>
    </w:p>
    <w:p w:rsidR="008E3A0F" w:rsidRDefault="008E3A0F" w:rsidP="008E3A0F">
      <w:pPr>
        <w:pStyle w:val="BodyText"/>
        <w:rPr>
          <w:noProof/>
          <w:lang w:eastAsia="zh-CN"/>
        </w:rPr>
      </w:pPr>
      <w:r>
        <w:rPr>
          <w:noProof/>
          <w:lang w:eastAsia="zh-CN"/>
        </w:rPr>
        <w:t>The selected turbo decoder implementations are obtained from the following:</w:t>
      </w:r>
    </w:p>
    <w:p w:rsidR="008E3A0F" w:rsidRDefault="008E3A0F" w:rsidP="008E3A0F">
      <w:pPr>
        <w:pStyle w:val="BodyText"/>
        <w:numPr>
          <w:ilvl w:val="0"/>
          <w:numId w:val="8"/>
        </w:numPr>
        <w:rPr>
          <w:noProof/>
          <w:lang w:eastAsia="zh-CN"/>
        </w:rPr>
      </w:pPr>
      <w:r>
        <w:rPr>
          <w:noProof/>
          <w:lang w:eastAsia="zh-CN"/>
        </w:rPr>
        <w:t>Those listed in Table 1 of:</w:t>
      </w:r>
    </w:p>
    <w:p w:rsidR="008E3A0F" w:rsidRDefault="008E3A0F" w:rsidP="008E3A0F">
      <w:pPr>
        <w:pStyle w:val="BodyText"/>
        <w:numPr>
          <w:ilvl w:val="1"/>
          <w:numId w:val="8"/>
        </w:numPr>
        <w:rPr>
          <w:noProof/>
          <w:lang w:eastAsia="zh-CN"/>
        </w:rPr>
      </w:pPr>
      <w:r>
        <w:t xml:space="preserve">M. F. </w:t>
      </w:r>
      <w:proofErr w:type="spellStart"/>
      <w:r>
        <w:t>Brejza</w:t>
      </w:r>
      <w:proofErr w:type="spellEnd"/>
      <w:r>
        <w:t xml:space="preserve">, </w:t>
      </w:r>
      <w:proofErr w:type="gramStart"/>
      <w:r>
        <w:t>et.,</w:t>
      </w:r>
      <w:proofErr w:type="gramEnd"/>
      <w:r>
        <w:t xml:space="preserve"> al., “</w:t>
      </w:r>
      <w:r w:rsidRPr="00E16BC6">
        <w:t>20 Years of Turbo Coding and Energy-Aware Design Guidelines for Energy-Constrained Wireless Applications</w:t>
      </w:r>
      <w:r>
        <w:t xml:space="preserve">,” </w:t>
      </w:r>
      <w:r w:rsidRPr="00E16BC6">
        <w:t>IEEE Communications Surveys &amp; Tutorials  (Volume:18 ,  Issue: 1 )</w:t>
      </w:r>
      <w:r>
        <w:t>, June 2015.</w:t>
      </w:r>
    </w:p>
    <w:p w:rsidR="008E3A0F" w:rsidRDefault="008E3A0F" w:rsidP="008E3A0F">
      <w:pPr>
        <w:pStyle w:val="BodyText"/>
        <w:numPr>
          <w:ilvl w:val="0"/>
          <w:numId w:val="8"/>
        </w:numPr>
        <w:rPr>
          <w:noProof/>
          <w:lang w:eastAsia="zh-CN"/>
        </w:rPr>
      </w:pPr>
      <w:r>
        <w:t>Those listed in Table IV of:</w:t>
      </w:r>
    </w:p>
    <w:p w:rsidR="008E3A0F" w:rsidRDefault="008E3A0F" w:rsidP="008E3A0F">
      <w:pPr>
        <w:pStyle w:val="BodyText"/>
        <w:numPr>
          <w:ilvl w:val="1"/>
          <w:numId w:val="8"/>
        </w:numPr>
        <w:rPr>
          <w:noProof/>
          <w:lang w:eastAsia="zh-CN"/>
        </w:rPr>
      </w:pPr>
      <w:r w:rsidRPr="00C267C8">
        <w:rPr>
          <w:noProof/>
          <w:lang w:eastAsia="zh-CN"/>
        </w:rPr>
        <w:t>Book: “Advanced Hardware Design for Error Correcting Codes” Cyrille Chavet • Philippe Coussy (Editors), 2014</w:t>
      </w:r>
      <w:r>
        <w:rPr>
          <w:noProof/>
          <w:lang w:eastAsia="zh-CN"/>
        </w:rPr>
        <w:t>.</w:t>
      </w:r>
    </w:p>
    <w:p w:rsidR="00494387" w:rsidRDefault="00494387" w:rsidP="00494387">
      <w:pPr>
        <w:pStyle w:val="BodyText"/>
        <w:rPr>
          <w:noProof/>
          <w:lang w:eastAsia="zh-CN"/>
        </w:rPr>
      </w:pPr>
      <w:r>
        <w:rPr>
          <w:noProof/>
          <w:lang w:eastAsia="zh-CN"/>
        </w:rPr>
        <w:t>More high throughput turbo decoders are published beyond those provided in the above two references.</w:t>
      </w:r>
    </w:p>
    <w:p w:rsidR="008E3A0F" w:rsidRPr="008E3A0F" w:rsidRDefault="008E3A0F" w:rsidP="008E3A0F">
      <w:pPr>
        <w:pStyle w:val="Heading3"/>
        <w:ind w:left="720" w:hanging="720"/>
        <w:rPr>
          <w:sz w:val="20"/>
        </w:rPr>
      </w:pPr>
      <w:r w:rsidRPr="008E3A0F">
        <w:rPr>
          <w:sz w:val="20"/>
        </w:rPr>
        <w:t>LDPC implementations</w:t>
      </w:r>
    </w:p>
    <w:p w:rsidR="008E3A0F" w:rsidRPr="00B76B23" w:rsidRDefault="008E3A0F" w:rsidP="008E3A0F">
      <w:pPr>
        <w:pStyle w:val="BodyText"/>
        <w:rPr>
          <w:noProof/>
          <w:lang w:eastAsia="zh-CN"/>
        </w:rPr>
      </w:pPr>
      <w:r>
        <w:rPr>
          <w:noProof/>
          <w:lang w:eastAsia="zh-CN"/>
        </w:rPr>
        <w:t>The LDPC ASIC implementations are obtained from the following:</w:t>
      </w:r>
    </w:p>
    <w:p w:rsidR="008E3A0F" w:rsidRPr="00B76B23" w:rsidRDefault="008E3A0F" w:rsidP="008E3A0F">
      <w:pPr>
        <w:pStyle w:val="BodyText"/>
        <w:numPr>
          <w:ilvl w:val="0"/>
          <w:numId w:val="9"/>
        </w:numPr>
        <w:rPr>
          <w:rStyle w:val="Hyperlink"/>
          <w:color w:val="auto"/>
          <w:u w:val="none"/>
        </w:rPr>
      </w:pPr>
      <w:r w:rsidRPr="00B76B23">
        <w:t>R. G. Maunder, "Survey of ASIC implementations of LDPC decoders”, University of Southampton, August 2016. Available: </w:t>
      </w:r>
      <w:hyperlink r:id="rId9" w:history="1">
        <w:r w:rsidRPr="00B76B23">
          <w:rPr>
            <w:rStyle w:val="Hyperlink"/>
          </w:rPr>
          <w:t>http://eprints.soton.ac.uk/399259/</w:t>
        </w:r>
      </w:hyperlink>
    </w:p>
    <w:p w:rsidR="004079A7" w:rsidRDefault="008E3A0F" w:rsidP="008E3A0F">
      <w:pPr>
        <w:pStyle w:val="BodyText"/>
      </w:pPr>
      <w:r>
        <w:t xml:space="preserve">The inflexible LDPC decoders are </w:t>
      </w:r>
      <w:r w:rsidR="007C24E5">
        <w:t xml:space="preserve">a set of 40 implementations </w:t>
      </w:r>
      <w:r>
        <w:t>that support only a single code size N</w:t>
      </w:r>
      <w:r w:rsidR="004079A7">
        <w:t>. This includes those LDPC decoder supporting DVB-S2, and IEEE 802.3an (i.e., 10GBASE-T)</w:t>
      </w:r>
      <w:r>
        <w:t xml:space="preserve">. </w:t>
      </w:r>
    </w:p>
    <w:p w:rsidR="004079A7" w:rsidRDefault="008E3A0F" w:rsidP="008E3A0F">
      <w:pPr>
        <w:pStyle w:val="BodyText"/>
      </w:pPr>
      <w:r>
        <w:t xml:space="preserve">The flexible LDPC decoders are </w:t>
      </w:r>
      <w:r w:rsidR="007C24E5">
        <w:t xml:space="preserve">a set of 19 implementations </w:t>
      </w:r>
      <w:proofErr w:type="spellStart"/>
      <w:r w:rsidR="007C24E5">
        <w:t>taht</w:t>
      </w:r>
      <w:proofErr w:type="spellEnd"/>
      <w:r>
        <w:t xml:space="preserve"> support 19 or more code sizes N. </w:t>
      </w:r>
      <w:r w:rsidR="004079A7">
        <w:t>This includes those LDPC decoders supporting IEEE 802.16e (i.e., WiMAX) or both IEEE 802.16e and 802.11n.</w:t>
      </w:r>
    </w:p>
    <w:p w:rsidR="008E3A0F" w:rsidRPr="008E3A0F" w:rsidRDefault="008E3A0F" w:rsidP="008E3A0F">
      <w:pPr>
        <w:pStyle w:val="Heading3"/>
        <w:ind w:left="720" w:hanging="720"/>
        <w:rPr>
          <w:sz w:val="20"/>
        </w:rPr>
      </w:pPr>
      <w:r w:rsidRPr="008E3A0F">
        <w:rPr>
          <w:sz w:val="20"/>
        </w:rPr>
        <w:lastRenderedPageBreak/>
        <w:t>Polar implementations</w:t>
      </w:r>
    </w:p>
    <w:p w:rsidR="008E3A0F" w:rsidRDefault="008E3A0F" w:rsidP="008E3A0F">
      <w:pPr>
        <w:pStyle w:val="BodyText"/>
        <w:rPr>
          <w:noProof/>
          <w:lang w:eastAsia="zh-CN"/>
        </w:rPr>
      </w:pPr>
      <w:r>
        <w:rPr>
          <w:noProof/>
          <w:lang w:eastAsia="zh-CN"/>
        </w:rPr>
        <w:t>The polar list SC decoder turbo decoder implementations are obtained from the following:</w:t>
      </w:r>
    </w:p>
    <w:p w:rsidR="008E3A0F" w:rsidRDefault="008E3A0F" w:rsidP="008E3A0F">
      <w:pPr>
        <w:pStyle w:val="BodyText"/>
        <w:numPr>
          <w:ilvl w:val="0"/>
          <w:numId w:val="8"/>
        </w:numPr>
      </w:pPr>
      <w:r>
        <w:t>Those listed in Table III of:</w:t>
      </w:r>
    </w:p>
    <w:p w:rsidR="008E3A0F" w:rsidRPr="001E6212" w:rsidRDefault="008E3A0F" w:rsidP="008E3A0F">
      <w:pPr>
        <w:pStyle w:val="BodyText"/>
        <w:numPr>
          <w:ilvl w:val="1"/>
          <w:numId w:val="8"/>
        </w:numPr>
        <w:rPr>
          <w:rStyle w:val="Hyperlink"/>
          <w:color w:val="auto"/>
          <w:u w:val="none"/>
        </w:rPr>
      </w:pPr>
      <w:r w:rsidRPr="005D2FB7">
        <w:rPr>
          <w:sz w:val="22"/>
        </w:rPr>
        <w:t xml:space="preserve">P. </w:t>
      </w:r>
      <w:proofErr w:type="spellStart"/>
      <w:r w:rsidRPr="005D2FB7">
        <w:rPr>
          <w:sz w:val="22"/>
        </w:rPr>
        <w:t>Giard</w:t>
      </w:r>
      <w:proofErr w:type="spellEnd"/>
      <w:r w:rsidRPr="005D2FB7">
        <w:rPr>
          <w:sz w:val="22"/>
        </w:rPr>
        <w:t xml:space="preserve">, </w:t>
      </w:r>
      <w:proofErr w:type="gramStart"/>
      <w:r w:rsidRPr="005D2FB7">
        <w:rPr>
          <w:sz w:val="22"/>
        </w:rPr>
        <w:t>et</w:t>
      </w:r>
      <w:proofErr w:type="gramEnd"/>
      <w:r w:rsidRPr="005D2FB7">
        <w:rPr>
          <w:sz w:val="22"/>
        </w:rPr>
        <w:t xml:space="preserve">. al., “Hardware decoders for Polar codes: an overview”, June 2016. </w:t>
      </w:r>
      <w:hyperlink r:id="rId10" w:history="1">
        <w:r w:rsidRPr="005D2FB7">
          <w:rPr>
            <w:rStyle w:val="Hyperlink"/>
          </w:rPr>
          <w:t>https://www.arxiv.org/pdf/1606.00737.pdf</w:t>
        </w:r>
      </w:hyperlink>
    </w:p>
    <w:p w:rsidR="008E3A0F" w:rsidRDefault="008E3A0F" w:rsidP="008E3A0F">
      <w:pPr>
        <w:pStyle w:val="BodyText"/>
        <w:numPr>
          <w:ilvl w:val="0"/>
          <w:numId w:val="8"/>
        </w:numPr>
      </w:pPr>
      <w:r>
        <w:t>Those listed in Table V of:</w:t>
      </w:r>
    </w:p>
    <w:p w:rsidR="008E3A0F" w:rsidRPr="00CE482C" w:rsidRDefault="008E3A0F" w:rsidP="008E3A0F">
      <w:pPr>
        <w:pStyle w:val="BodyText"/>
        <w:numPr>
          <w:ilvl w:val="1"/>
          <w:numId w:val="8"/>
        </w:numPr>
      </w:pPr>
      <w:r w:rsidRPr="00DC39CE">
        <w:rPr>
          <w:szCs w:val="22"/>
        </w:rPr>
        <w:t xml:space="preserve">Y. Fan, </w:t>
      </w:r>
      <w:proofErr w:type="gramStart"/>
      <w:r w:rsidRPr="00DC39CE">
        <w:rPr>
          <w:szCs w:val="22"/>
        </w:rPr>
        <w:t>et</w:t>
      </w:r>
      <w:proofErr w:type="gramEnd"/>
      <w:r w:rsidRPr="00DC39CE">
        <w:rPr>
          <w:szCs w:val="22"/>
        </w:rPr>
        <w:t>. al., “A Low-Latency List Successive-Cancellation Decoding Implementation for Polar Codes</w:t>
      </w:r>
      <w:r>
        <w:rPr>
          <w:szCs w:val="22"/>
        </w:rPr>
        <w:t>,</w:t>
      </w:r>
      <w:r w:rsidRPr="00DC39CE">
        <w:rPr>
          <w:szCs w:val="22"/>
        </w:rPr>
        <w:t>”</w:t>
      </w:r>
      <w:r>
        <w:rPr>
          <w:szCs w:val="22"/>
        </w:rPr>
        <w:t xml:space="preserve"> </w:t>
      </w:r>
      <w:r w:rsidRPr="005E2D4A">
        <w:rPr>
          <w:i/>
          <w:sz w:val="22"/>
          <w:szCs w:val="20"/>
          <w:lang w:eastAsia="zh-CN"/>
        </w:rPr>
        <w:t>IEEE Journal on Selected Areas in Communications</w:t>
      </w:r>
      <w:r w:rsidRPr="005E2D4A">
        <w:rPr>
          <w:sz w:val="22"/>
          <w:szCs w:val="20"/>
          <w:lang w:eastAsia="zh-CN"/>
        </w:rPr>
        <w:t>, Vol. 34, No. 2, Feb. 2016.</w:t>
      </w:r>
    </w:p>
    <w:p w:rsidR="00CE482C" w:rsidRDefault="00CE482C" w:rsidP="00CE482C">
      <w:pPr>
        <w:pStyle w:val="BodyText"/>
      </w:pPr>
      <w:r>
        <w:t>Only list SC decoder of Polar codes are included, since it has been shown that only list SC decoder can achieve error correction performance comparable to those of turbo and LDPC codes. The simple SC decoder suffers from substantially worse BLER performance.</w:t>
      </w:r>
    </w:p>
    <w:p w:rsidR="00494387" w:rsidRDefault="00494387" w:rsidP="00CE482C">
      <w:pPr>
        <w:pStyle w:val="BodyText"/>
      </w:pPr>
      <w:r>
        <w:t>Very high throughput Polar decoders exist, but they are all based on simple SC or BP.</w:t>
      </w:r>
    </w:p>
    <w:p w:rsidR="008E3A0F" w:rsidRPr="008E3A0F" w:rsidRDefault="008E3A0F" w:rsidP="008E3A0F">
      <w:pPr>
        <w:pStyle w:val="Heading2"/>
        <w:tabs>
          <w:tab w:val="clear" w:pos="3447"/>
        </w:tabs>
        <w:ind w:left="562" w:hanging="562"/>
        <w:rPr>
          <w:sz w:val="22"/>
        </w:rPr>
      </w:pPr>
      <w:r>
        <w:rPr>
          <w:sz w:val="22"/>
        </w:rPr>
        <w:t>ASIC Area Efficiency Comparison</w:t>
      </w:r>
    </w:p>
    <w:p w:rsidR="008E3A0F" w:rsidRDefault="00F7170E" w:rsidP="008E3A0F">
      <w:pPr>
        <w:pStyle w:val="BodyText"/>
      </w:pPr>
      <w:r>
        <w:t xml:space="preserve">This section provides the area efficiency comparison between LDPC (inflexible and flexible) decoders, turbo decoders, and Polar list decoders. </w:t>
      </w:r>
    </w:p>
    <w:p w:rsidR="00F7170E" w:rsidRDefault="00F7170E" w:rsidP="008E3A0F">
      <w:pPr>
        <w:pStyle w:val="BodyText"/>
      </w:pPr>
      <w:r>
        <w:fldChar w:fldCharType="begin"/>
      </w:r>
      <w:r>
        <w:instrText xml:space="preserve"> REF _Ref458798561 </w:instrText>
      </w:r>
      <w:r>
        <w:fldChar w:fldCharType="separate"/>
      </w:r>
      <w:r w:rsidRPr="00DC1CDF">
        <w:t xml:space="preserve">Figure </w:t>
      </w:r>
      <w:r>
        <w:rPr>
          <w:noProof/>
        </w:rPr>
        <w:t>1</w:t>
      </w:r>
      <w:r>
        <w:fldChar w:fldCharType="end"/>
      </w:r>
      <w:r>
        <w:t xml:space="preserve"> plots the comparison between all the surveyed decoders. The flexible and inflexible LDPC decoders are plotted separately since they exhibit substantially different behavior.</w:t>
      </w:r>
      <w:r w:rsidR="003459BF">
        <w:t xml:space="preserve"> To make the plot more readable, outlier data points with scaled core area greater than 10 mm</w:t>
      </w:r>
      <w:r w:rsidR="003459BF" w:rsidRPr="003459BF">
        <w:rPr>
          <w:vertAlign w:val="superscript"/>
        </w:rPr>
        <w:t>2</w:t>
      </w:r>
      <w:r w:rsidR="003459BF">
        <w:t xml:space="preserve"> are excluded.</w:t>
      </w:r>
      <w:r w:rsidR="00324B63">
        <w:t xml:space="preserve"> For example, the 20 </w:t>
      </w:r>
      <w:proofErr w:type="spellStart"/>
      <w:r w:rsidR="00324B63">
        <w:t>Gbps</w:t>
      </w:r>
      <w:proofErr w:type="spellEnd"/>
      <w:r w:rsidR="00324B63">
        <w:t xml:space="preserve"> turbo decoder implementation of </w:t>
      </w:r>
      <w:r w:rsidR="00324B63">
        <w:fldChar w:fldCharType="begin"/>
      </w:r>
      <w:r w:rsidR="00324B63">
        <w:instrText xml:space="preserve"> REF _Ref458800390 \r </w:instrText>
      </w:r>
      <w:r w:rsidR="00324B63">
        <w:fldChar w:fldCharType="separate"/>
      </w:r>
      <w:r w:rsidR="00324B63">
        <w:t>[3]</w:t>
      </w:r>
      <w:r w:rsidR="00324B63">
        <w:fldChar w:fldCharType="end"/>
      </w:r>
      <w:r w:rsidR="00AB6496">
        <w:t xml:space="preserve"> is excluded from the plot due to the large area.</w:t>
      </w:r>
    </w:p>
    <w:p w:rsidR="00F7170E" w:rsidRDefault="00F7170E" w:rsidP="008E3A0F">
      <w:pPr>
        <w:pStyle w:val="BodyText"/>
      </w:pPr>
      <w:r>
        <w:fldChar w:fldCharType="begin"/>
      </w:r>
      <w:r>
        <w:instrText xml:space="preserve"> REF _Ref458798564 </w:instrText>
      </w:r>
      <w:r>
        <w:fldChar w:fldCharType="separate"/>
      </w:r>
      <w:r w:rsidRPr="00DC1CDF">
        <w:t xml:space="preserve">Figure </w:t>
      </w:r>
      <w:r>
        <w:rPr>
          <w:noProof/>
        </w:rPr>
        <w:t>2</w:t>
      </w:r>
      <w:r>
        <w:fldChar w:fldCharType="end"/>
      </w:r>
      <w:r>
        <w:t xml:space="preserve"> plot the subset of </w:t>
      </w:r>
      <w:r>
        <w:fldChar w:fldCharType="begin"/>
      </w:r>
      <w:r>
        <w:instrText xml:space="preserve"> REF _Ref458798561 </w:instrText>
      </w:r>
      <w:r>
        <w:fldChar w:fldCharType="separate"/>
      </w:r>
      <w:r w:rsidRPr="00DC1CDF">
        <w:t xml:space="preserve">Figure </w:t>
      </w:r>
      <w:r>
        <w:rPr>
          <w:noProof/>
        </w:rPr>
        <w:t>1</w:t>
      </w:r>
      <w:r>
        <w:fldChar w:fldCharType="end"/>
      </w:r>
      <w:r>
        <w:t>, where flexible and inflexible LDPC decoders are compared.</w:t>
      </w:r>
      <w:r w:rsidR="003459BF">
        <w:t xml:space="preserve"> This plot shows that only inflexible LDPC decoders can provide throughput higher than 3 </w:t>
      </w:r>
      <w:proofErr w:type="spellStart"/>
      <w:r w:rsidR="003459BF">
        <w:t>Gbps</w:t>
      </w:r>
      <w:proofErr w:type="spellEnd"/>
      <w:r w:rsidR="003459BF">
        <w:t xml:space="preserve">. None of the inflexible LDPC decoders can achieve it.  </w:t>
      </w:r>
    </w:p>
    <w:p w:rsidR="00F7170E" w:rsidRDefault="00F7170E" w:rsidP="008E3A0F">
      <w:pPr>
        <w:pStyle w:val="BodyText"/>
      </w:pPr>
      <w:r>
        <w:fldChar w:fldCharType="begin"/>
      </w:r>
      <w:r>
        <w:instrText xml:space="preserve"> REF _Ref458798566 </w:instrText>
      </w:r>
      <w:r>
        <w:fldChar w:fldCharType="separate"/>
      </w:r>
      <w:r w:rsidRPr="00DC1CDF">
        <w:t xml:space="preserve">Figure </w:t>
      </w:r>
      <w:r>
        <w:rPr>
          <w:noProof/>
        </w:rPr>
        <w:t>3</w:t>
      </w:r>
      <w:r>
        <w:fldChar w:fldCharType="end"/>
      </w:r>
      <w:r>
        <w:t xml:space="preserve"> plot the subset of </w:t>
      </w:r>
      <w:r>
        <w:fldChar w:fldCharType="begin"/>
      </w:r>
      <w:r>
        <w:instrText xml:space="preserve"> REF _Ref458798561 </w:instrText>
      </w:r>
      <w:r>
        <w:fldChar w:fldCharType="separate"/>
      </w:r>
      <w:r w:rsidRPr="00DC1CDF">
        <w:t xml:space="preserve">Figure </w:t>
      </w:r>
      <w:r>
        <w:rPr>
          <w:noProof/>
        </w:rPr>
        <w:t>1</w:t>
      </w:r>
      <w:r>
        <w:fldChar w:fldCharType="end"/>
      </w:r>
      <w:r>
        <w:t>, where turbo decoder and inflexible LDPC decoders are compared.</w:t>
      </w:r>
      <w:r w:rsidR="003C3766">
        <w:t xml:space="preserve"> This plot shows that turbo decoders and flexible LDPC decoders achieve similar throughput on the higher end.</w:t>
      </w:r>
    </w:p>
    <w:p w:rsidR="00F7170E" w:rsidRDefault="00F7170E" w:rsidP="00F7170E">
      <w:pPr>
        <w:pStyle w:val="BodyText"/>
      </w:pPr>
      <w:r>
        <w:fldChar w:fldCharType="begin"/>
      </w:r>
      <w:r>
        <w:instrText xml:space="preserve"> REF _Ref458798567 </w:instrText>
      </w:r>
      <w:r>
        <w:fldChar w:fldCharType="separate"/>
      </w:r>
      <w:r w:rsidRPr="00DC1CDF">
        <w:t xml:space="preserve">Figure </w:t>
      </w:r>
      <w:r>
        <w:rPr>
          <w:noProof/>
        </w:rPr>
        <w:t>4</w:t>
      </w:r>
      <w:r>
        <w:fldChar w:fldCharType="end"/>
      </w:r>
      <w:r>
        <w:t xml:space="preserve"> plot the subset of </w:t>
      </w:r>
      <w:r>
        <w:fldChar w:fldCharType="begin"/>
      </w:r>
      <w:r>
        <w:instrText xml:space="preserve"> REF _Ref458798561 </w:instrText>
      </w:r>
      <w:r>
        <w:fldChar w:fldCharType="separate"/>
      </w:r>
      <w:r w:rsidRPr="00DC1CDF">
        <w:t xml:space="preserve">Figure </w:t>
      </w:r>
      <w:r>
        <w:rPr>
          <w:noProof/>
        </w:rPr>
        <w:t>1</w:t>
      </w:r>
      <w:r>
        <w:fldChar w:fldCharType="end"/>
      </w:r>
      <w:r>
        <w:t>, where turbo decoder and polar list SC decoders are compared.</w:t>
      </w:r>
      <w:r w:rsidR="003C3766">
        <w:t xml:space="preserve">  This plot shows that turbo decoders can achieve higher throughput than the polar list decoders. One published polar list decoders with N=8192, list size = 4 can achieve throughput comparable to the high-throughput turbo decoders. However the polar SCL decoder is expected to exhibit inferior error correction capabilities due to the small list size.</w:t>
      </w:r>
    </w:p>
    <w:p w:rsidR="00F7170E" w:rsidRDefault="00F7170E" w:rsidP="008E3A0F">
      <w:pPr>
        <w:pStyle w:val="BodyText"/>
      </w:pPr>
    </w:p>
    <w:p w:rsidR="008B2DCC" w:rsidRDefault="00EE4688" w:rsidP="00F97E48">
      <w:pPr>
        <w:pStyle w:val="BodyText"/>
        <w:jc w:val="center"/>
      </w:pPr>
      <w:r>
        <w:rPr>
          <w:noProof/>
          <w:lang w:eastAsia="zh-CN"/>
        </w:rPr>
        <w:lastRenderedPageBreak/>
        <w:drawing>
          <wp:inline distT="0" distB="0" distL="0" distR="0" wp14:anchorId="38DE9EB9" wp14:editId="4F7C0256">
            <wp:extent cx="4992624" cy="3749040"/>
            <wp:effectExtent l="0" t="0" r="0" b="3810"/>
            <wp:docPr id="15" name="Picture 15" descr="C:\Users\eyufbla\Documents\MATLAB\chanCoding\implement\figures\ASIC_decoder_ldpc_vs_turbo_vs_polarListSC.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eyufbla\Documents\MATLAB\chanCoding\implement\figures\ASIC_decoder_ldpc_vs_turbo_vs_polarListSC.b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92624" cy="3749040"/>
                    </a:xfrm>
                    <a:prstGeom prst="rect">
                      <a:avLst/>
                    </a:prstGeom>
                    <a:noFill/>
                    <a:ln>
                      <a:noFill/>
                    </a:ln>
                  </pic:spPr>
                </pic:pic>
              </a:graphicData>
            </a:graphic>
          </wp:inline>
        </w:drawing>
      </w:r>
    </w:p>
    <w:p w:rsidR="00216BB9" w:rsidRDefault="00216BB9" w:rsidP="00216BB9">
      <w:pPr>
        <w:pStyle w:val="BodyText"/>
        <w:jc w:val="center"/>
      </w:pPr>
      <w:bookmarkStart w:id="4" w:name="_Ref458798561"/>
      <w:proofErr w:type="gramStart"/>
      <w:r w:rsidRPr="00DC1CDF">
        <w:t xml:space="preserve">Figure </w:t>
      </w:r>
      <w:r w:rsidRPr="00471F75">
        <w:fldChar w:fldCharType="begin"/>
      </w:r>
      <w:r w:rsidRPr="00DC1CDF">
        <w:instrText xml:space="preserve"> SEQ Figure \* ARABIC </w:instrText>
      </w:r>
      <w:r w:rsidRPr="00471F75">
        <w:fldChar w:fldCharType="separate"/>
      </w:r>
      <w:r w:rsidR="00F7170E">
        <w:rPr>
          <w:noProof/>
        </w:rPr>
        <w:t>1</w:t>
      </w:r>
      <w:r w:rsidRPr="00471F75">
        <w:fldChar w:fldCharType="end"/>
      </w:r>
      <w:bookmarkEnd w:id="4"/>
      <w:r w:rsidRPr="005349CC">
        <w:t>.</w:t>
      </w:r>
      <w:proofErr w:type="gramEnd"/>
      <w:r>
        <w:t xml:space="preserve"> Scaled throughput vs scaled core area: Inflexible LDPC vs flexible LDPC vs Turbo vs Polar SCL</w:t>
      </w:r>
      <w:r w:rsidR="0060025A" w:rsidRPr="0060025A">
        <w:t xml:space="preserve"> </w:t>
      </w:r>
      <w:r w:rsidR="0060025A">
        <w:t>decoders</w:t>
      </w:r>
      <w:r>
        <w:t xml:space="preserve">. </w:t>
      </w:r>
    </w:p>
    <w:p w:rsidR="00216BB9" w:rsidRDefault="00950ACB" w:rsidP="00F97E48">
      <w:pPr>
        <w:pStyle w:val="BodyText"/>
        <w:jc w:val="center"/>
      </w:pPr>
      <w:r>
        <w:rPr>
          <w:noProof/>
          <w:lang w:eastAsia="zh-CN"/>
        </w:rPr>
        <w:drawing>
          <wp:inline distT="0" distB="0" distL="0" distR="0" wp14:anchorId="637282FE" wp14:editId="3B183DBD">
            <wp:extent cx="4992624" cy="3749040"/>
            <wp:effectExtent l="0" t="0" r="0" b="3810"/>
            <wp:docPr id="13" name="Picture 13" descr="C:\Users\eyufbla\Documents\MATLAB\chanCoding\implement\figures\ASIC_decoder_LDPC_flexible_vs_inflexible.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eyufbla\Documents\MATLAB\chanCoding\implement\figures\ASIC_decoder_LDPC_flexible_vs_inflexible.b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92624" cy="3749040"/>
                    </a:xfrm>
                    <a:prstGeom prst="rect">
                      <a:avLst/>
                    </a:prstGeom>
                    <a:noFill/>
                    <a:ln>
                      <a:noFill/>
                    </a:ln>
                  </pic:spPr>
                </pic:pic>
              </a:graphicData>
            </a:graphic>
          </wp:inline>
        </w:drawing>
      </w:r>
    </w:p>
    <w:p w:rsidR="00216BB9" w:rsidRDefault="00216BB9" w:rsidP="00216BB9">
      <w:pPr>
        <w:pStyle w:val="BodyText"/>
        <w:jc w:val="center"/>
      </w:pPr>
      <w:bookmarkStart w:id="5" w:name="_Ref458798564"/>
      <w:proofErr w:type="gramStart"/>
      <w:r w:rsidRPr="00DC1CDF">
        <w:t xml:space="preserve">Figure </w:t>
      </w:r>
      <w:r w:rsidRPr="00471F75">
        <w:fldChar w:fldCharType="begin"/>
      </w:r>
      <w:r w:rsidRPr="00DC1CDF">
        <w:instrText xml:space="preserve"> SEQ Figure \* ARABIC </w:instrText>
      </w:r>
      <w:r w:rsidRPr="00471F75">
        <w:fldChar w:fldCharType="separate"/>
      </w:r>
      <w:r w:rsidR="00F7170E">
        <w:rPr>
          <w:noProof/>
        </w:rPr>
        <w:t>2</w:t>
      </w:r>
      <w:r w:rsidRPr="00471F75">
        <w:fldChar w:fldCharType="end"/>
      </w:r>
      <w:bookmarkEnd w:id="5"/>
      <w:r w:rsidRPr="005349CC">
        <w:t>.</w:t>
      </w:r>
      <w:proofErr w:type="gramEnd"/>
      <w:r>
        <w:t xml:space="preserve"> Scaled throughput vs scaled core area: Inflexible LDPC vs flexible LDPC</w:t>
      </w:r>
      <w:r w:rsidR="0060025A" w:rsidRPr="0060025A">
        <w:t xml:space="preserve"> </w:t>
      </w:r>
      <w:r w:rsidR="0060025A">
        <w:t>decoders</w:t>
      </w:r>
      <w:r>
        <w:t xml:space="preserve">. </w:t>
      </w:r>
    </w:p>
    <w:p w:rsidR="00216BB9" w:rsidRDefault="00950ACB" w:rsidP="00F97E48">
      <w:pPr>
        <w:pStyle w:val="BodyText"/>
        <w:jc w:val="center"/>
      </w:pPr>
      <w:r>
        <w:rPr>
          <w:noProof/>
          <w:lang w:eastAsia="zh-CN"/>
        </w:rPr>
        <w:lastRenderedPageBreak/>
        <w:drawing>
          <wp:inline distT="0" distB="0" distL="0" distR="0" wp14:anchorId="2C0551FB" wp14:editId="6326C740">
            <wp:extent cx="4992624" cy="3749040"/>
            <wp:effectExtent l="0" t="0" r="0" b="3810"/>
            <wp:docPr id="10" name="Picture 10" descr="C:\Users\eyufbla\Documents\MATLAB\chanCoding\implement\figures\ASIC_decoder_turbo_vs_inflexibleLDPC.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eyufbla\Documents\MATLAB\chanCoding\implement\figures\ASIC_decoder_turbo_vs_inflexibleLDPC.bmp"/>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92624" cy="3749040"/>
                    </a:xfrm>
                    <a:prstGeom prst="rect">
                      <a:avLst/>
                    </a:prstGeom>
                    <a:noFill/>
                    <a:ln>
                      <a:noFill/>
                    </a:ln>
                  </pic:spPr>
                </pic:pic>
              </a:graphicData>
            </a:graphic>
          </wp:inline>
        </w:drawing>
      </w:r>
    </w:p>
    <w:p w:rsidR="00216BB9" w:rsidRDefault="00216BB9" w:rsidP="00216BB9">
      <w:pPr>
        <w:pStyle w:val="BodyText"/>
        <w:jc w:val="center"/>
      </w:pPr>
      <w:bookmarkStart w:id="6" w:name="_Ref458798566"/>
      <w:proofErr w:type="gramStart"/>
      <w:r w:rsidRPr="00DC1CDF">
        <w:t xml:space="preserve">Figure </w:t>
      </w:r>
      <w:r w:rsidRPr="00471F75">
        <w:fldChar w:fldCharType="begin"/>
      </w:r>
      <w:r w:rsidRPr="00DC1CDF">
        <w:instrText xml:space="preserve"> SEQ Figure \* ARABIC </w:instrText>
      </w:r>
      <w:r w:rsidRPr="00471F75">
        <w:fldChar w:fldCharType="separate"/>
      </w:r>
      <w:r w:rsidR="00F7170E">
        <w:rPr>
          <w:noProof/>
        </w:rPr>
        <w:t>3</w:t>
      </w:r>
      <w:r w:rsidRPr="00471F75">
        <w:fldChar w:fldCharType="end"/>
      </w:r>
      <w:bookmarkEnd w:id="6"/>
      <w:r w:rsidRPr="005349CC">
        <w:t>.</w:t>
      </w:r>
      <w:proofErr w:type="gramEnd"/>
      <w:r>
        <w:t xml:space="preserve"> Scaled throughput vs scaled core area: Turbo vs inflexible LDPC</w:t>
      </w:r>
      <w:r w:rsidR="0060025A" w:rsidRPr="0060025A">
        <w:t xml:space="preserve"> </w:t>
      </w:r>
      <w:r w:rsidR="0060025A">
        <w:t>decoders</w:t>
      </w:r>
      <w:r>
        <w:t xml:space="preserve">. </w:t>
      </w:r>
    </w:p>
    <w:p w:rsidR="008B2DCC" w:rsidRDefault="00950ACB" w:rsidP="00F97E48">
      <w:pPr>
        <w:pStyle w:val="BodyText"/>
        <w:jc w:val="center"/>
      </w:pPr>
      <w:r>
        <w:rPr>
          <w:noProof/>
          <w:lang w:eastAsia="zh-CN"/>
        </w:rPr>
        <w:drawing>
          <wp:inline distT="0" distB="0" distL="0" distR="0" wp14:anchorId="61B6BD83" wp14:editId="3A912D92">
            <wp:extent cx="4992624" cy="3749040"/>
            <wp:effectExtent l="0" t="0" r="0" b="3810"/>
            <wp:docPr id="12" name="Picture 12" descr="C:\Users\eyufbla\Documents\MATLAB\chanCoding\implement\figures\ASIC_decoder_turbo_vs_polarListSC.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eyufbla\Documents\MATLAB\chanCoding\implement\figures\ASIC_decoder_turbo_vs_polarListSC.bmp"/>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92624" cy="3749040"/>
                    </a:xfrm>
                    <a:prstGeom prst="rect">
                      <a:avLst/>
                    </a:prstGeom>
                    <a:noFill/>
                    <a:ln>
                      <a:noFill/>
                    </a:ln>
                  </pic:spPr>
                </pic:pic>
              </a:graphicData>
            </a:graphic>
          </wp:inline>
        </w:drawing>
      </w:r>
    </w:p>
    <w:p w:rsidR="00216BB9" w:rsidRDefault="00216BB9" w:rsidP="00216BB9">
      <w:pPr>
        <w:pStyle w:val="BodyText"/>
        <w:jc w:val="center"/>
      </w:pPr>
      <w:bookmarkStart w:id="7" w:name="_Ref458798567"/>
      <w:proofErr w:type="gramStart"/>
      <w:r w:rsidRPr="00DC1CDF">
        <w:t xml:space="preserve">Figure </w:t>
      </w:r>
      <w:r w:rsidRPr="00471F75">
        <w:fldChar w:fldCharType="begin"/>
      </w:r>
      <w:r w:rsidRPr="00DC1CDF">
        <w:instrText xml:space="preserve"> SEQ Figure \* ARABIC </w:instrText>
      </w:r>
      <w:r w:rsidRPr="00471F75">
        <w:fldChar w:fldCharType="separate"/>
      </w:r>
      <w:r w:rsidR="00F7170E">
        <w:rPr>
          <w:noProof/>
        </w:rPr>
        <w:t>4</w:t>
      </w:r>
      <w:r w:rsidRPr="00471F75">
        <w:fldChar w:fldCharType="end"/>
      </w:r>
      <w:bookmarkEnd w:id="7"/>
      <w:r w:rsidRPr="005349CC">
        <w:t>.</w:t>
      </w:r>
      <w:proofErr w:type="gramEnd"/>
      <w:r>
        <w:t xml:space="preserve"> Scaled throughput vs scaled core area: Turbo vs Polar SCL</w:t>
      </w:r>
      <w:r w:rsidR="0060025A">
        <w:t xml:space="preserve"> decoders</w:t>
      </w:r>
      <w:r>
        <w:t xml:space="preserve">. </w:t>
      </w:r>
    </w:p>
    <w:p w:rsidR="00216BB9" w:rsidRDefault="00216BB9" w:rsidP="008B2DCC">
      <w:pPr>
        <w:pStyle w:val="BodyText"/>
      </w:pPr>
    </w:p>
    <w:p w:rsidR="008B2DCC" w:rsidRDefault="008B2DCC" w:rsidP="008B2DCC">
      <w:pPr>
        <w:pStyle w:val="BodyText"/>
      </w:pPr>
    </w:p>
    <w:p w:rsidR="00322699" w:rsidRDefault="00322699" w:rsidP="00322699">
      <w:pPr>
        <w:pStyle w:val="Heading1"/>
      </w:pPr>
      <w:r>
        <w:lastRenderedPageBreak/>
        <w:t>Comparison of FPGA Implementations</w:t>
      </w:r>
    </w:p>
    <w:p w:rsidR="00E41F46" w:rsidRDefault="00E41F46" w:rsidP="00E41F46">
      <w:pPr>
        <w:pStyle w:val="BodyText"/>
      </w:pPr>
      <w:r>
        <w:t xml:space="preserve">This section shows comparison of FPGA-based implementations of LDPC and turbo decoders. </w:t>
      </w:r>
    </w:p>
    <w:p w:rsidR="00E41F46" w:rsidRDefault="00E41F46" w:rsidP="00E41F46">
      <w:pPr>
        <w:pStyle w:val="BodyText"/>
      </w:pPr>
      <w:r>
        <w:fldChar w:fldCharType="begin"/>
      </w:r>
      <w:r>
        <w:instrText xml:space="preserve"> REF _Ref458798569 </w:instrText>
      </w:r>
      <w:r>
        <w:fldChar w:fldCharType="separate"/>
      </w:r>
      <w:r w:rsidRPr="00DC1CDF">
        <w:t xml:space="preserve">Figure </w:t>
      </w:r>
      <w:r>
        <w:rPr>
          <w:noProof/>
        </w:rPr>
        <w:t>5</w:t>
      </w:r>
      <w:r>
        <w:fldChar w:fldCharType="end"/>
      </w:r>
      <w:r>
        <w:t xml:space="preserve"> is a plot of thoroughly surveyed LDPC decoders. As observed in the paper, the inflexible LDPC decoders can achieve order-of-magnitude higher throughput than the inflexible LDPC decoders, hence high above the trend line. In contrast, the highest-throughput inflexible LDPC decoder can only achieve throughput roughly along the trend line.</w:t>
      </w:r>
    </w:p>
    <w:p w:rsidR="00E41F46" w:rsidRPr="008E3A0F" w:rsidRDefault="00E41F46" w:rsidP="00E41F46">
      <w:pPr>
        <w:pStyle w:val="BodyText"/>
      </w:pPr>
      <w:r>
        <w:fldChar w:fldCharType="begin"/>
      </w:r>
      <w:r>
        <w:instrText xml:space="preserve"> REF _Ref458798571 </w:instrText>
      </w:r>
      <w:r>
        <w:fldChar w:fldCharType="separate"/>
      </w:r>
      <w:r w:rsidRPr="00DC1CDF">
        <w:t xml:space="preserve">Figure </w:t>
      </w:r>
      <w:r>
        <w:rPr>
          <w:noProof/>
        </w:rPr>
        <w:t>6</w:t>
      </w:r>
      <w:r>
        <w:fldChar w:fldCharType="end"/>
      </w:r>
      <w:r>
        <w:t xml:space="preserve"> shows a comparison of inflexible LDPC decoders and 3 turbo decoders. It is observed from the plot that the high-throughput turbo decoders can reach throughput levels comparable to those of inflexible decoders.</w:t>
      </w:r>
    </w:p>
    <w:p w:rsidR="00E41F46" w:rsidRPr="00E41F46" w:rsidRDefault="00E41F46" w:rsidP="00E41F46">
      <w:pPr>
        <w:pStyle w:val="BodyText"/>
      </w:pPr>
    </w:p>
    <w:p w:rsidR="00C87953" w:rsidRDefault="00C87953" w:rsidP="00C87953">
      <w:pPr>
        <w:pStyle w:val="BodyText"/>
      </w:pPr>
      <w:r w:rsidRPr="00FB4AED">
        <w:rPr>
          <w:noProof/>
          <w:szCs w:val="22"/>
          <w:lang w:eastAsia="zh-CN"/>
        </w:rPr>
        <w:drawing>
          <wp:inline distT="0" distB="0" distL="0" distR="0" wp14:anchorId="6E8E11DA" wp14:editId="5B4FD3E7">
            <wp:extent cx="5760720" cy="3550920"/>
            <wp:effectExtent l="0" t="0" r="0" b="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60720" cy="3550920"/>
                    </a:xfrm>
                    <a:prstGeom prst="rect">
                      <a:avLst/>
                    </a:prstGeom>
                    <a:noFill/>
                    <a:ln>
                      <a:noFill/>
                    </a:ln>
                    <a:extLst/>
                  </pic:spPr>
                </pic:pic>
              </a:graphicData>
            </a:graphic>
          </wp:inline>
        </w:drawing>
      </w:r>
    </w:p>
    <w:p w:rsidR="008E3A0F" w:rsidRPr="008E3A0F" w:rsidRDefault="008E3A0F" w:rsidP="008E3A0F">
      <w:pPr>
        <w:pStyle w:val="BodyText"/>
        <w:ind w:left="720"/>
        <w:rPr>
          <w:i/>
        </w:rPr>
      </w:pPr>
      <w:bookmarkStart w:id="8" w:name="_Ref458798569"/>
      <w:proofErr w:type="gramStart"/>
      <w:r w:rsidRPr="00DC1CDF">
        <w:t xml:space="preserve">Figure </w:t>
      </w:r>
      <w:r w:rsidRPr="00471F75">
        <w:fldChar w:fldCharType="begin"/>
      </w:r>
      <w:r w:rsidRPr="00DC1CDF">
        <w:instrText xml:space="preserve"> SEQ Figure \* ARABIC </w:instrText>
      </w:r>
      <w:r w:rsidRPr="00471F75">
        <w:fldChar w:fldCharType="separate"/>
      </w:r>
      <w:r w:rsidR="00F7170E">
        <w:rPr>
          <w:noProof/>
        </w:rPr>
        <w:t>5</w:t>
      </w:r>
      <w:r w:rsidRPr="00471F75">
        <w:fldChar w:fldCharType="end"/>
      </w:r>
      <w:bookmarkEnd w:id="8"/>
      <w:r w:rsidRPr="005349CC">
        <w:t>.</w:t>
      </w:r>
      <w:proofErr w:type="gramEnd"/>
      <w:r>
        <w:t xml:space="preserve"> </w:t>
      </w:r>
      <w:proofErr w:type="gramStart"/>
      <w:r>
        <w:t>Flexible LDPC vs inflexible LDPC FPGA-based decoder</w:t>
      </w:r>
      <w:r w:rsidR="00155A50">
        <w:t>s</w:t>
      </w:r>
      <w:r>
        <w:t>.</w:t>
      </w:r>
      <w:proofErr w:type="gramEnd"/>
      <w:r>
        <w:t xml:space="preserve"> The plot is quoted from: </w:t>
      </w:r>
      <w:r w:rsidRPr="008E3A0F">
        <w:rPr>
          <w:rFonts w:eastAsia="Batang"/>
          <w:i/>
          <w:szCs w:val="22"/>
          <w:lang w:val="en-GB" w:eastAsia="ko-KR"/>
        </w:rPr>
        <w:t xml:space="preserve">P. </w:t>
      </w:r>
      <w:proofErr w:type="spellStart"/>
      <w:r w:rsidRPr="008E3A0F">
        <w:rPr>
          <w:rFonts w:eastAsia="Batang"/>
          <w:i/>
          <w:szCs w:val="22"/>
          <w:lang w:val="en-GB" w:eastAsia="ko-KR"/>
        </w:rPr>
        <w:t>Hailes</w:t>
      </w:r>
      <w:proofErr w:type="spellEnd"/>
      <w:r w:rsidRPr="008E3A0F">
        <w:rPr>
          <w:rFonts w:eastAsia="Batang"/>
          <w:i/>
          <w:szCs w:val="22"/>
          <w:lang w:val="en-GB" w:eastAsia="ko-KR"/>
        </w:rPr>
        <w:t xml:space="preserve">, </w:t>
      </w:r>
      <w:proofErr w:type="gramStart"/>
      <w:r w:rsidRPr="008E3A0F">
        <w:rPr>
          <w:rFonts w:eastAsia="Batang"/>
          <w:i/>
          <w:szCs w:val="22"/>
          <w:lang w:val="en-GB" w:eastAsia="ko-KR"/>
        </w:rPr>
        <w:t>et</w:t>
      </w:r>
      <w:proofErr w:type="gramEnd"/>
      <w:r w:rsidRPr="008E3A0F">
        <w:rPr>
          <w:rFonts w:eastAsia="Batang"/>
          <w:i/>
          <w:szCs w:val="22"/>
          <w:lang w:val="en-GB" w:eastAsia="ko-KR"/>
        </w:rPr>
        <w:t>. al., “A Survey of FPGA-Based LDPC Decoders</w:t>
      </w:r>
      <w:proofErr w:type="gramStart"/>
      <w:r w:rsidRPr="008E3A0F">
        <w:rPr>
          <w:rFonts w:eastAsia="Batang"/>
          <w:i/>
          <w:szCs w:val="22"/>
          <w:lang w:val="en-GB" w:eastAsia="ko-KR"/>
        </w:rPr>
        <w:t>, ”</w:t>
      </w:r>
      <w:proofErr w:type="gramEnd"/>
      <w:r w:rsidRPr="008E3A0F">
        <w:rPr>
          <w:i/>
        </w:rPr>
        <w:t xml:space="preserve"> </w:t>
      </w:r>
      <w:r w:rsidRPr="008E3A0F">
        <w:rPr>
          <w:rFonts w:eastAsia="Batang"/>
          <w:i/>
          <w:szCs w:val="22"/>
          <w:lang w:val="en-GB" w:eastAsia="ko-KR"/>
        </w:rPr>
        <w:t>IEEE COMMUNICATIONS SURVEYS &amp; TUTORIALS, VOL. 18, NO. 2, SECOND QUARTER 2016.</w:t>
      </w:r>
    </w:p>
    <w:p w:rsidR="00DF262C" w:rsidRDefault="00DF262C" w:rsidP="00C87953">
      <w:pPr>
        <w:pStyle w:val="BodyText"/>
      </w:pPr>
    </w:p>
    <w:p w:rsidR="00C87953" w:rsidRDefault="00C87953" w:rsidP="00C87953">
      <w:pPr>
        <w:pStyle w:val="BodyText"/>
      </w:pPr>
    </w:p>
    <w:p w:rsidR="00C87953" w:rsidRDefault="00C87953" w:rsidP="00C87953">
      <w:pPr>
        <w:pStyle w:val="BodyText"/>
      </w:pPr>
      <w:r>
        <w:rPr>
          <w:noProof/>
          <w:lang w:eastAsia="zh-CN"/>
        </w:rPr>
        <w:lastRenderedPageBreak/>
        <w:drawing>
          <wp:inline distT="0" distB="0" distL="0" distR="0" wp14:anchorId="20811A90" wp14:editId="13E4D165">
            <wp:extent cx="5760720" cy="3598604"/>
            <wp:effectExtent l="0" t="0" r="0" b="190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5760720" cy="3598604"/>
                    </a:xfrm>
                    <a:prstGeom prst="rect">
                      <a:avLst/>
                    </a:prstGeom>
                  </pic:spPr>
                </pic:pic>
              </a:graphicData>
            </a:graphic>
          </wp:inline>
        </w:drawing>
      </w:r>
    </w:p>
    <w:p w:rsidR="00DD4CA7" w:rsidRPr="00DD4CA7" w:rsidRDefault="00DF262C" w:rsidP="00155A50">
      <w:pPr>
        <w:pStyle w:val="BodyText"/>
        <w:ind w:left="720"/>
        <w:rPr>
          <w:i/>
        </w:rPr>
      </w:pPr>
      <w:bookmarkStart w:id="9" w:name="_Ref458798571"/>
      <w:proofErr w:type="gramStart"/>
      <w:r w:rsidRPr="00DC1CDF">
        <w:t xml:space="preserve">Figure </w:t>
      </w:r>
      <w:r w:rsidRPr="00471F75">
        <w:fldChar w:fldCharType="begin"/>
      </w:r>
      <w:r w:rsidRPr="00DC1CDF">
        <w:instrText xml:space="preserve"> SEQ Figure \* ARABIC </w:instrText>
      </w:r>
      <w:r w:rsidRPr="00471F75">
        <w:fldChar w:fldCharType="separate"/>
      </w:r>
      <w:r w:rsidR="00F7170E">
        <w:rPr>
          <w:noProof/>
        </w:rPr>
        <w:t>6</w:t>
      </w:r>
      <w:r w:rsidRPr="00471F75">
        <w:fldChar w:fldCharType="end"/>
      </w:r>
      <w:bookmarkEnd w:id="9"/>
      <w:r w:rsidRPr="005349CC">
        <w:t>.</w:t>
      </w:r>
      <w:proofErr w:type="gramEnd"/>
      <w:r>
        <w:t xml:space="preserve"> </w:t>
      </w:r>
      <w:proofErr w:type="gramStart"/>
      <w:r w:rsidR="008E3A0F">
        <w:t xml:space="preserve">Turbo vs flexible LDPC vs inflexible LDPC </w:t>
      </w:r>
      <w:r w:rsidR="00155A50">
        <w:t>FPGA-based decoders.</w:t>
      </w:r>
      <w:proofErr w:type="gramEnd"/>
      <w:r w:rsidR="00155A50">
        <w:t xml:space="preserve"> The </w:t>
      </w:r>
      <w:r w:rsidR="008E3A0F">
        <w:t xml:space="preserve">plot </w:t>
      </w:r>
      <w:r w:rsidR="00155A50">
        <w:t xml:space="preserve">quoted </w:t>
      </w:r>
      <w:r w:rsidR="008E3A0F">
        <w:t>from:</w:t>
      </w:r>
      <w:r w:rsidR="00DD4CA7">
        <w:t xml:space="preserve"> </w:t>
      </w:r>
      <w:r w:rsidR="00DD4CA7" w:rsidRPr="00DD4CA7">
        <w:rPr>
          <w:rFonts w:eastAsia="Times New Roman"/>
          <w:i/>
        </w:rPr>
        <w:t xml:space="preserve">R. G. Maunder, “The 5G Channel Code Contenders”, </w:t>
      </w:r>
      <w:proofErr w:type="spellStart"/>
      <w:r w:rsidR="00DD4CA7" w:rsidRPr="00DD4CA7">
        <w:rPr>
          <w:rFonts w:eastAsia="Times New Roman"/>
          <w:i/>
        </w:rPr>
        <w:t>AccelerComm</w:t>
      </w:r>
      <w:proofErr w:type="spellEnd"/>
      <w:r w:rsidR="00DD4CA7" w:rsidRPr="00DD4CA7">
        <w:rPr>
          <w:rFonts w:eastAsia="Times New Roman"/>
          <w:i/>
        </w:rPr>
        <w:t xml:space="preserve"> White Paper, August 2016. Available: </w:t>
      </w:r>
      <w:hyperlink r:id="rId17" w:history="1">
        <w:r w:rsidR="00DD4CA7" w:rsidRPr="00DD4CA7">
          <w:rPr>
            <w:rStyle w:val="Hyperlink"/>
            <w:rFonts w:eastAsia="Times New Roman"/>
            <w:i/>
          </w:rPr>
          <w:t>http://www.accelercomm.com</w:t>
        </w:r>
      </w:hyperlink>
    </w:p>
    <w:p w:rsidR="008B2DCC" w:rsidRPr="008B2DCC" w:rsidRDefault="008B2DCC" w:rsidP="008B2DCC">
      <w:pPr>
        <w:pStyle w:val="BodyText"/>
      </w:pPr>
    </w:p>
    <w:p w:rsidR="00FE5799" w:rsidRDefault="00FE5799" w:rsidP="00FE5799">
      <w:pPr>
        <w:pStyle w:val="Heading1"/>
      </w:pPr>
      <w:r>
        <w:t>Conclusion</w:t>
      </w:r>
    </w:p>
    <w:p w:rsidR="00F21825" w:rsidRDefault="00F21825" w:rsidP="00F21825"/>
    <w:p w:rsidR="00D61D57" w:rsidRDefault="00D61D57" w:rsidP="00F21825">
      <w:r>
        <w:t xml:space="preserve">In this contribution, we discuss </w:t>
      </w:r>
      <w:r w:rsidR="00541107">
        <w:t>…</w:t>
      </w:r>
      <w:r w:rsidR="005F158B">
        <w:t>.</w:t>
      </w:r>
      <w:r>
        <w:t xml:space="preserve"> Based on the discussion,</w:t>
      </w:r>
      <w:r w:rsidR="004B2E21">
        <w:t xml:space="preserve"> we have the following proposal</w:t>
      </w:r>
      <w:r>
        <w:t>:</w:t>
      </w:r>
    </w:p>
    <w:p w:rsidR="009E0608" w:rsidRDefault="009E0608" w:rsidP="00F21825"/>
    <w:p w:rsidR="006C7FEE" w:rsidRDefault="006C7FEE" w:rsidP="006C7FEE">
      <w:pPr>
        <w:pStyle w:val="BodyText"/>
        <w:numPr>
          <w:ilvl w:val="0"/>
          <w:numId w:val="15"/>
        </w:numPr>
        <w:ind w:left="1710" w:hanging="1710"/>
        <w:rPr>
          <w:rFonts w:ascii="Arial" w:hAnsi="Arial" w:cs="Arial"/>
          <w:b/>
        </w:rPr>
      </w:pPr>
      <w:r>
        <w:rPr>
          <w:rFonts w:ascii="Arial" w:hAnsi="Arial" w:cs="Arial"/>
          <w:b/>
        </w:rPr>
        <w:t>I</w:t>
      </w:r>
      <w:r w:rsidRPr="006C7FEE">
        <w:rPr>
          <w:rFonts w:ascii="Arial" w:hAnsi="Arial" w:cs="Arial"/>
          <w:b/>
        </w:rPr>
        <w:t xml:space="preserve">nflexible LDPC decoders can </w:t>
      </w:r>
      <w:r>
        <w:rPr>
          <w:rFonts w:ascii="Arial" w:hAnsi="Arial" w:cs="Arial"/>
          <w:b/>
        </w:rPr>
        <w:t>achieve throughput order(s) of magnitude higher those of flexible LDPC decoders.</w:t>
      </w:r>
    </w:p>
    <w:p w:rsidR="006C7FEE" w:rsidRDefault="006C7FEE" w:rsidP="006C7FEE">
      <w:pPr>
        <w:pStyle w:val="BodyText"/>
        <w:numPr>
          <w:ilvl w:val="0"/>
          <w:numId w:val="15"/>
        </w:numPr>
        <w:ind w:left="1710" w:hanging="1710"/>
        <w:rPr>
          <w:rFonts w:ascii="Arial" w:hAnsi="Arial" w:cs="Arial"/>
          <w:b/>
        </w:rPr>
      </w:pPr>
      <w:r>
        <w:rPr>
          <w:rFonts w:ascii="Arial" w:hAnsi="Arial" w:cs="Arial"/>
          <w:b/>
        </w:rPr>
        <w:t>T</w:t>
      </w:r>
      <w:r w:rsidRPr="006C7FEE">
        <w:rPr>
          <w:rFonts w:ascii="Arial" w:hAnsi="Arial" w:cs="Arial"/>
          <w:b/>
        </w:rPr>
        <w:t>urbo decoders and flexible LDPC decoders achieve similar throughput on the higher end.</w:t>
      </w:r>
    </w:p>
    <w:p w:rsidR="006C7FEE" w:rsidRDefault="006C7FEE" w:rsidP="006C7FEE">
      <w:pPr>
        <w:pStyle w:val="BodyText"/>
        <w:numPr>
          <w:ilvl w:val="0"/>
          <w:numId w:val="15"/>
        </w:numPr>
        <w:ind w:left="1710" w:hanging="1710"/>
        <w:rPr>
          <w:rFonts w:ascii="Arial" w:hAnsi="Arial" w:cs="Arial"/>
          <w:b/>
        </w:rPr>
      </w:pPr>
      <w:r>
        <w:rPr>
          <w:rFonts w:ascii="Arial" w:hAnsi="Arial" w:cs="Arial"/>
          <w:b/>
        </w:rPr>
        <w:t>T</w:t>
      </w:r>
      <w:r w:rsidRPr="006C7FEE">
        <w:rPr>
          <w:rFonts w:ascii="Arial" w:hAnsi="Arial" w:cs="Arial"/>
          <w:b/>
        </w:rPr>
        <w:t>urbo decoders can achieve higher throughput than the polar list decoders.</w:t>
      </w:r>
    </w:p>
    <w:p w:rsidR="006C7FEE" w:rsidRDefault="006C7FEE" w:rsidP="00F21825"/>
    <w:p w:rsidR="00D61D57" w:rsidRDefault="00D61D57" w:rsidP="00F21825"/>
    <w:p w:rsidR="00D61D57" w:rsidRDefault="00324B63" w:rsidP="005356DB">
      <w:pPr>
        <w:pStyle w:val="Proposal"/>
        <w:numPr>
          <w:ilvl w:val="0"/>
          <w:numId w:val="4"/>
        </w:numPr>
        <w:tabs>
          <w:tab w:val="clear" w:pos="1304"/>
        </w:tabs>
        <w:ind w:left="1710" w:hanging="1710"/>
      </w:pPr>
      <w:r>
        <w:rPr>
          <w:lang w:val="en-US"/>
        </w:rPr>
        <w:t>Selection of channel coding candidates takes into account the trend observed in existing decoder implementations</w:t>
      </w:r>
      <w:r w:rsidR="00D61D57" w:rsidRPr="000F6819">
        <w:t>.</w:t>
      </w:r>
    </w:p>
    <w:p w:rsidR="004B2E21" w:rsidRDefault="004B2E21" w:rsidP="00541107">
      <w:pPr>
        <w:pStyle w:val="Proposal"/>
        <w:numPr>
          <w:ilvl w:val="0"/>
          <w:numId w:val="0"/>
        </w:numPr>
        <w:ind w:left="1440"/>
      </w:pPr>
    </w:p>
    <w:p w:rsidR="00F21825" w:rsidRDefault="00F21825" w:rsidP="00F21825"/>
    <w:p w:rsidR="00BB216E" w:rsidRDefault="00BB216E" w:rsidP="00F21825"/>
    <w:p w:rsidR="00F21825" w:rsidRPr="00A742FA" w:rsidRDefault="00F21825" w:rsidP="00F21825">
      <w:pPr>
        <w:pStyle w:val="Heading1"/>
        <w:tabs>
          <w:tab w:val="clear" w:pos="567"/>
          <w:tab w:val="num" w:pos="432"/>
        </w:tabs>
      </w:pPr>
      <w:r w:rsidRPr="00A742FA">
        <w:t>Reference</w:t>
      </w:r>
      <w:r>
        <w:t>s</w:t>
      </w:r>
    </w:p>
    <w:p w:rsidR="00125DF5" w:rsidRPr="002B768A" w:rsidRDefault="00125DF5" w:rsidP="00125DF5">
      <w:pPr>
        <w:pStyle w:val="Reference"/>
        <w:rPr>
          <w:rFonts w:ascii="Times New Roman" w:hAnsi="Times New Roman"/>
        </w:rPr>
      </w:pPr>
      <w:bookmarkStart w:id="10" w:name="_Ref442441852"/>
      <w:bookmarkStart w:id="11" w:name="_Ref441562466"/>
      <w:r w:rsidRPr="002B768A">
        <w:rPr>
          <w:rFonts w:ascii="Times New Roman" w:hAnsi="Times New Roman"/>
        </w:rPr>
        <w:t xml:space="preserve">RP-160671, “New SID Proposal: Study on New Radio Access Technology,” </w:t>
      </w:r>
      <w:r w:rsidRPr="002B768A">
        <w:rPr>
          <w:rFonts w:ascii="Times New Roman" w:hAnsi="Times New Roman"/>
          <w:lang w:val="en-US"/>
        </w:rPr>
        <w:t xml:space="preserve">NTT DOCOMO, 3GPP TSG RAN Meeting #71, </w:t>
      </w:r>
      <w:proofErr w:type="spellStart"/>
      <w:r w:rsidRPr="002B768A">
        <w:rPr>
          <w:rFonts w:ascii="Times New Roman" w:hAnsi="Times New Roman"/>
          <w:lang w:val="en-US"/>
        </w:rPr>
        <w:t>Göteborg</w:t>
      </w:r>
      <w:proofErr w:type="spellEnd"/>
      <w:r w:rsidRPr="002B768A">
        <w:rPr>
          <w:rFonts w:ascii="Times New Roman" w:hAnsi="Times New Roman"/>
          <w:lang w:val="en-US"/>
        </w:rPr>
        <w:t>, Sweden, 7.-10. March, 2016.</w:t>
      </w:r>
    </w:p>
    <w:p w:rsidR="00121072" w:rsidRPr="002B768A" w:rsidRDefault="00121072" w:rsidP="00A75AE3">
      <w:pPr>
        <w:pStyle w:val="Reference"/>
        <w:rPr>
          <w:rFonts w:ascii="Times New Roman" w:hAnsi="Times New Roman"/>
          <w:lang w:val="en-US"/>
        </w:rPr>
      </w:pPr>
      <w:r w:rsidRPr="002B768A">
        <w:rPr>
          <w:rFonts w:ascii="Times New Roman" w:hAnsi="Times New Roman"/>
          <w:lang w:val="en-US"/>
        </w:rPr>
        <w:t>3GPP TS 36.212 v13.0.0.</w:t>
      </w:r>
    </w:p>
    <w:p w:rsidR="00DD4CA7" w:rsidRPr="002B768A" w:rsidRDefault="00DD4CA7" w:rsidP="00A75AE3">
      <w:pPr>
        <w:pStyle w:val="Reference"/>
        <w:rPr>
          <w:rFonts w:ascii="Times New Roman" w:hAnsi="Times New Roman"/>
          <w:lang w:val="en-US"/>
        </w:rPr>
      </w:pPr>
      <w:bookmarkStart w:id="12" w:name="_Ref458800390"/>
      <w:r w:rsidRPr="002B768A">
        <w:rPr>
          <w:rFonts w:ascii="Times New Roman" w:hAnsi="Times New Roman"/>
        </w:rPr>
        <w:t>Li, L. Xiang, T. Chen, R. G. Maunder, B. M. Al-</w:t>
      </w:r>
      <w:proofErr w:type="spellStart"/>
      <w:r w:rsidRPr="002B768A">
        <w:rPr>
          <w:rFonts w:ascii="Times New Roman" w:hAnsi="Times New Roman"/>
        </w:rPr>
        <w:t>Hashimi</w:t>
      </w:r>
      <w:proofErr w:type="spellEnd"/>
      <w:r w:rsidRPr="002B768A">
        <w:rPr>
          <w:rFonts w:ascii="Times New Roman" w:hAnsi="Times New Roman"/>
        </w:rPr>
        <w:t xml:space="preserve"> and L. </w:t>
      </w:r>
      <w:proofErr w:type="spellStart"/>
      <w:r w:rsidRPr="002B768A">
        <w:rPr>
          <w:rFonts w:ascii="Times New Roman" w:hAnsi="Times New Roman"/>
        </w:rPr>
        <w:t>Hanzo</w:t>
      </w:r>
      <w:proofErr w:type="spellEnd"/>
      <w:r w:rsidRPr="002B768A">
        <w:rPr>
          <w:rFonts w:ascii="Times New Roman" w:hAnsi="Times New Roman"/>
        </w:rPr>
        <w:t>, "VLSI Implementation of Fully Parallel LTE Turbo Decoders”, IEEE Access, March 2016.</w:t>
      </w:r>
      <w:bookmarkEnd w:id="12"/>
    </w:p>
    <w:p w:rsidR="00DD4CA7" w:rsidRPr="002B768A" w:rsidRDefault="00DD4CA7" w:rsidP="00A75AE3">
      <w:pPr>
        <w:pStyle w:val="Reference"/>
        <w:rPr>
          <w:rFonts w:ascii="Times New Roman" w:hAnsi="Times New Roman"/>
          <w:lang w:val="en-US"/>
        </w:rPr>
      </w:pPr>
      <w:r w:rsidRPr="002B768A">
        <w:rPr>
          <w:rFonts w:ascii="Times New Roman" w:hAnsi="Times New Roman"/>
        </w:rPr>
        <w:lastRenderedPageBreak/>
        <w:t xml:space="preserve">M. F. </w:t>
      </w:r>
      <w:proofErr w:type="spellStart"/>
      <w:r w:rsidRPr="002B768A">
        <w:rPr>
          <w:rFonts w:ascii="Times New Roman" w:hAnsi="Times New Roman"/>
        </w:rPr>
        <w:t>Brejza</w:t>
      </w:r>
      <w:proofErr w:type="spellEnd"/>
      <w:r w:rsidRPr="002B768A">
        <w:rPr>
          <w:rFonts w:ascii="Times New Roman" w:hAnsi="Times New Roman"/>
        </w:rPr>
        <w:t xml:space="preserve">, </w:t>
      </w:r>
      <w:proofErr w:type="gramStart"/>
      <w:r w:rsidRPr="002B768A">
        <w:rPr>
          <w:rFonts w:ascii="Times New Roman" w:hAnsi="Times New Roman"/>
        </w:rPr>
        <w:t>et.,</w:t>
      </w:r>
      <w:proofErr w:type="gramEnd"/>
      <w:r w:rsidRPr="002B768A">
        <w:rPr>
          <w:rFonts w:ascii="Times New Roman" w:hAnsi="Times New Roman"/>
        </w:rPr>
        <w:t xml:space="preserve"> al., “20 Years of Turbo Coding and Energy-Aware Design Guidelines for Energy-Constrained Wireless Applications,” IEEE Communications Surveys &amp; Tutorials  (Volume:18 ,  Issue: 1 ), June 2015.</w:t>
      </w:r>
    </w:p>
    <w:p w:rsidR="00DD4CA7" w:rsidRPr="002B768A" w:rsidRDefault="00DD4CA7" w:rsidP="00A75AE3">
      <w:pPr>
        <w:pStyle w:val="Reference"/>
        <w:rPr>
          <w:rFonts w:ascii="Times New Roman" w:hAnsi="Times New Roman"/>
          <w:lang w:val="en-US"/>
        </w:rPr>
      </w:pPr>
      <w:r w:rsidRPr="002B768A">
        <w:rPr>
          <w:rFonts w:ascii="Times New Roman" w:hAnsi="Times New Roman"/>
        </w:rPr>
        <w:t>C.Y. Lin, C.C. Wong, and H.C. Chang, “An Area Efficient Radix-4 Reciprocal Dual Trellis Architecture for a High-Code-Rate Turbo Decoder”, IEEE Transactions on Circuits and Systems II: Express Briefs, Year: 2015, Volume: 62, Pages: 65 – 69.</w:t>
      </w:r>
    </w:p>
    <w:p w:rsidR="00DD4CA7" w:rsidRPr="002B768A" w:rsidRDefault="00DD4CA7" w:rsidP="00A75AE3">
      <w:pPr>
        <w:pStyle w:val="Reference"/>
        <w:rPr>
          <w:rFonts w:ascii="Times New Roman" w:hAnsi="Times New Roman"/>
          <w:lang w:val="en-US"/>
        </w:rPr>
      </w:pPr>
      <w:r w:rsidRPr="002B768A">
        <w:rPr>
          <w:rFonts w:ascii="Times New Roman" w:hAnsi="Times New Roman"/>
        </w:rPr>
        <w:t xml:space="preserve">Chen-Yang Lin, Cheng-Chi Wong, and </w:t>
      </w:r>
      <w:proofErr w:type="spellStart"/>
      <w:r w:rsidRPr="002B768A">
        <w:rPr>
          <w:rFonts w:ascii="Times New Roman" w:hAnsi="Times New Roman"/>
        </w:rPr>
        <w:t>Hsie</w:t>
      </w:r>
      <w:proofErr w:type="spellEnd"/>
      <w:r w:rsidRPr="002B768A">
        <w:rPr>
          <w:rFonts w:ascii="Times New Roman" w:hAnsi="Times New Roman"/>
        </w:rPr>
        <w:t xml:space="preserve">-Chia </w:t>
      </w:r>
      <w:proofErr w:type="gramStart"/>
      <w:r w:rsidRPr="002B768A">
        <w:rPr>
          <w:rFonts w:ascii="Times New Roman" w:hAnsi="Times New Roman"/>
        </w:rPr>
        <w:t>Chang ,</w:t>
      </w:r>
      <w:proofErr w:type="gramEnd"/>
      <w:r w:rsidRPr="002B768A">
        <w:rPr>
          <w:rFonts w:ascii="Times New Roman" w:hAnsi="Times New Roman"/>
        </w:rPr>
        <w:t xml:space="preserve"> “A 40 nm 535 Mbps Multiple Code-Rate Turbo Decoder Chip Using Reciprocal Dual Trellis”, IEEE JOURNAL OF SOLID-STATE CIRCUITS, VOL. 48, NO. 11, NOVEMBER 2013.</w:t>
      </w:r>
    </w:p>
    <w:p w:rsidR="00DD4CA7" w:rsidRPr="002B768A" w:rsidRDefault="00DD4CA7" w:rsidP="00A75AE3">
      <w:pPr>
        <w:pStyle w:val="Reference"/>
        <w:rPr>
          <w:rFonts w:ascii="Times New Roman" w:hAnsi="Times New Roman"/>
          <w:lang w:val="en-US"/>
        </w:rPr>
      </w:pPr>
      <w:r w:rsidRPr="002B768A">
        <w:rPr>
          <w:rFonts w:ascii="Times New Roman" w:hAnsi="Times New Roman"/>
          <w:noProof/>
        </w:rPr>
        <w:t>Book: “Advanced Hardware Design for Error Correcting Codes” Cyrille Chavet • Philippe Coussy (Editors), 2014.</w:t>
      </w:r>
    </w:p>
    <w:p w:rsidR="00DD4CA7" w:rsidRPr="002B768A" w:rsidRDefault="00DD4CA7" w:rsidP="00A75AE3">
      <w:pPr>
        <w:pStyle w:val="Reference"/>
        <w:rPr>
          <w:rFonts w:ascii="Times New Roman" w:hAnsi="Times New Roman"/>
          <w:lang w:val="en-US"/>
        </w:rPr>
      </w:pPr>
      <w:r w:rsidRPr="002B768A">
        <w:rPr>
          <w:rFonts w:ascii="Times New Roman" w:hAnsi="Times New Roman"/>
          <w:szCs w:val="22"/>
        </w:rPr>
        <w:t xml:space="preserve">F. </w:t>
      </w:r>
      <w:proofErr w:type="spellStart"/>
      <w:r w:rsidRPr="002B768A">
        <w:rPr>
          <w:rFonts w:ascii="Times New Roman" w:hAnsi="Times New Roman"/>
          <w:szCs w:val="22"/>
        </w:rPr>
        <w:t>Kienle</w:t>
      </w:r>
      <w:proofErr w:type="spellEnd"/>
      <w:r w:rsidRPr="002B768A">
        <w:rPr>
          <w:rFonts w:ascii="Times New Roman" w:hAnsi="Times New Roman"/>
          <w:szCs w:val="22"/>
        </w:rPr>
        <w:t>, et al</w:t>
      </w:r>
      <w:proofErr w:type="gramStart"/>
      <w:r w:rsidRPr="002B768A">
        <w:rPr>
          <w:rFonts w:ascii="Times New Roman" w:hAnsi="Times New Roman"/>
          <w:szCs w:val="22"/>
        </w:rPr>
        <w:t>,,</w:t>
      </w:r>
      <w:proofErr w:type="gramEnd"/>
      <w:r w:rsidRPr="002B768A">
        <w:rPr>
          <w:rFonts w:ascii="Times New Roman" w:hAnsi="Times New Roman"/>
          <w:szCs w:val="22"/>
        </w:rPr>
        <w:t xml:space="preserve"> “On Complexity, Energy- and Implementation-Efficiency of Channel Decoders,” IEEE TRANSACTIONS ON COMMUNICATIONS, VOL. 59, NO. 12, DECEMBER 2011, pp. 3301-3310.</w:t>
      </w:r>
    </w:p>
    <w:p w:rsidR="00DD4CA7" w:rsidRPr="002B768A" w:rsidRDefault="00DD4CA7" w:rsidP="00A75AE3">
      <w:pPr>
        <w:pStyle w:val="Reference"/>
        <w:rPr>
          <w:rStyle w:val="Hyperlink"/>
          <w:rFonts w:ascii="Times New Roman" w:hAnsi="Times New Roman"/>
          <w:color w:val="auto"/>
          <w:u w:val="none"/>
          <w:lang w:val="en-US"/>
        </w:rPr>
      </w:pPr>
      <w:r w:rsidRPr="002B768A">
        <w:rPr>
          <w:rFonts w:ascii="Times New Roman" w:eastAsia="MS Mincho" w:hAnsi="Times New Roman"/>
          <w:sz w:val="22"/>
          <w:szCs w:val="24"/>
          <w:lang w:val="en-US" w:eastAsia="en-US"/>
        </w:rPr>
        <w:t xml:space="preserve">P. </w:t>
      </w:r>
      <w:proofErr w:type="spellStart"/>
      <w:r w:rsidRPr="002B768A">
        <w:rPr>
          <w:rFonts w:ascii="Times New Roman" w:eastAsia="MS Mincho" w:hAnsi="Times New Roman"/>
          <w:sz w:val="22"/>
          <w:szCs w:val="24"/>
          <w:lang w:val="en-US" w:eastAsia="en-US"/>
        </w:rPr>
        <w:t>Giard</w:t>
      </w:r>
      <w:proofErr w:type="spellEnd"/>
      <w:r w:rsidRPr="002B768A">
        <w:rPr>
          <w:rFonts w:ascii="Times New Roman" w:eastAsia="MS Mincho" w:hAnsi="Times New Roman"/>
          <w:sz w:val="22"/>
          <w:szCs w:val="24"/>
          <w:lang w:val="en-US" w:eastAsia="en-US"/>
        </w:rPr>
        <w:t xml:space="preserve">, </w:t>
      </w:r>
      <w:proofErr w:type="gramStart"/>
      <w:r w:rsidRPr="002B768A">
        <w:rPr>
          <w:rFonts w:ascii="Times New Roman" w:eastAsia="MS Mincho" w:hAnsi="Times New Roman"/>
          <w:sz w:val="22"/>
          <w:szCs w:val="24"/>
          <w:lang w:val="en-US" w:eastAsia="en-US"/>
        </w:rPr>
        <w:t>et</w:t>
      </w:r>
      <w:proofErr w:type="gramEnd"/>
      <w:r w:rsidRPr="002B768A">
        <w:rPr>
          <w:rFonts w:ascii="Times New Roman" w:eastAsia="MS Mincho" w:hAnsi="Times New Roman"/>
          <w:sz w:val="22"/>
          <w:szCs w:val="24"/>
          <w:lang w:val="en-US" w:eastAsia="en-US"/>
        </w:rPr>
        <w:t xml:space="preserve">. al., “Hardware decoders for Polar codes: an overview”, June 2016. </w:t>
      </w:r>
      <w:hyperlink r:id="rId18" w:history="1">
        <w:r w:rsidRPr="002B768A">
          <w:rPr>
            <w:rStyle w:val="Hyperlink"/>
            <w:rFonts w:ascii="Times New Roman" w:hAnsi="Times New Roman"/>
          </w:rPr>
          <w:t>https://www.arxiv.org/pdf/1606.00737.pdf</w:t>
        </w:r>
      </w:hyperlink>
    </w:p>
    <w:p w:rsidR="00DD4CA7" w:rsidRPr="002B768A" w:rsidRDefault="00DD4CA7" w:rsidP="00A75AE3">
      <w:pPr>
        <w:pStyle w:val="Reference"/>
        <w:rPr>
          <w:rFonts w:ascii="Times New Roman" w:hAnsi="Times New Roman"/>
          <w:lang w:val="en-US"/>
        </w:rPr>
      </w:pPr>
      <w:r w:rsidRPr="002B768A">
        <w:rPr>
          <w:rFonts w:ascii="Times New Roman" w:hAnsi="Times New Roman"/>
          <w:szCs w:val="22"/>
        </w:rPr>
        <w:t xml:space="preserve">Y. Fan, </w:t>
      </w:r>
      <w:proofErr w:type="gramStart"/>
      <w:r w:rsidRPr="002B768A">
        <w:rPr>
          <w:rFonts w:ascii="Times New Roman" w:hAnsi="Times New Roman"/>
          <w:szCs w:val="22"/>
        </w:rPr>
        <w:t>et</w:t>
      </w:r>
      <w:proofErr w:type="gramEnd"/>
      <w:r w:rsidRPr="002B768A">
        <w:rPr>
          <w:rFonts w:ascii="Times New Roman" w:hAnsi="Times New Roman"/>
          <w:szCs w:val="22"/>
        </w:rPr>
        <w:t>. al., “A Low-Latency List Successive-Cancellation Decoding Implementation for Polar Codes</w:t>
      </w:r>
      <w:r w:rsidRPr="002B768A">
        <w:rPr>
          <w:rFonts w:ascii="Times New Roman" w:hAnsi="Times New Roman"/>
        </w:rPr>
        <w:t xml:space="preserve">,” </w:t>
      </w:r>
      <w:r w:rsidRPr="002B768A">
        <w:rPr>
          <w:rFonts w:ascii="Times New Roman" w:hAnsi="Times New Roman"/>
          <w:i/>
        </w:rPr>
        <w:t>IEEE Journal on Selected Areas in Communications</w:t>
      </w:r>
      <w:r w:rsidRPr="002B768A">
        <w:rPr>
          <w:rFonts w:ascii="Times New Roman" w:hAnsi="Times New Roman"/>
        </w:rPr>
        <w:t>, Vol. 34, No. 2, Feb. 2016.</w:t>
      </w:r>
    </w:p>
    <w:p w:rsidR="00DD4CA7" w:rsidRPr="002B768A" w:rsidRDefault="00DD4CA7" w:rsidP="00A75AE3">
      <w:pPr>
        <w:pStyle w:val="Reference"/>
        <w:rPr>
          <w:rFonts w:ascii="Times New Roman" w:hAnsi="Times New Roman"/>
          <w:lang w:val="en-US"/>
        </w:rPr>
      </w:pPr>
      <w:r w:rsidRPr="002B768A">
        <w:rPr>
          <w:rFonts w:ascii="Times New Roman" w:hAnsi="Times New Roman"/>
          <w:lang w:val="en-US"/>
        </w:rPr>
        <w:t xml:space="preserve">G. </w:t>
      </w:r>
      <w:proofErr w:type="spellStart"/>
      <w:r w:rsidRPr="002B768A">
        <w:rPr>
          <w:rFonts w:ascii="Times New Roman" w:hAnsi="Times New Roman"/>
          <w:lang w:val="en-US"/>
        </w:rPr>
        <w:t>Sarkis</w:t>
      </w:r>
      <w:proofErr w:type="spellEnd"/>
      <w:r w:rsidRPr="002B768A">
        <w:rPr>
          <w:rFonts w:ascii="Times New Roman" w:hAnsi="Times New Roman"/>
          <w:lang w:val="en-US"/>
        </w:rPr>
        <w:t xml:space="preserve">, P. </w:t>
      </w:r>
      <w:proofErr w:type="spellStart"/>
      <w:r w:rsidRPr="002B768A">
        <w:rPr>
          <w:rFonts w:ascii="Times New Roman" w:hAnsi="Times New Roman"/>
          <w:lang w:val="en-US"/>
        </w:rPr>
        <w:t>Giard</w:t>
      </w:r>
      <w:proofErr w:type="spellEnd"/>
      <w:r w:rsidRPr="002B768A">
        <w:rPr>
          <w:rFonts w:ascii="Times New Roman" w:hAnsi="Times New Roman"/>
          <w:lang w:val="en-US"/>
        </w:rPr>
        <w:t xml:space="preserve">, A. Vardy, C. </w:t>
      </w:r>
      <w:proofErr w:type="spellStart"/>
      <w:r w:rsidRPr="002B768A">
        <w:rPr>
          <w:rFonts w:ascii="Times New Roman" w:hAnsi="Times New Roman"/>
          <w:lang w:val="en-US"/>
        </w:rPr>
        <w:t>Thibeault</w:t>
      </w:r>
      <w:proofErr w:type="spellEnd"/>
      <w:r w:rsidRPr="002B768A">
        <w:rPr>
          <w:rFonts w:ascii="Times New Roman" w:hAnsi="Times New Roman"/>
          <w:lang w:val="en-US"/>
        </w:rPr>
        <w:t xml:space="preserve">, W. Gross, “Fast List Decoders for Polar Codes,” </w:t>
      </w:r>
      <w:r w:rsidRPr="002B768A">
        <w:rPr>
          <w:rFonts w:ascii="Times New Roman" w:hAnsi="Times New Roman"/>
          <w:i/>
          <w:lang w:val="en-US"/>
        </w:rPr>
        <w:t>IEEE JSAC</w:t>
      </w:r>
      <w:r w:rsidRPr="002B768A">
        <w:rPr>
          <w:rFonts w:ascii="Times New Roman" w:hAnsi="Times New Roman"/>
          <w:lang w:val="en-US"/>
        </w:rPr>
        <w:t>, 2016.</w:t>
      </w:r>
    </w:p>
    <w:p w:rsidR="00DD4CA7" w:rsidRPr="002B768A" w:rsidRDefault="00DD4CA7" w:rsidP="00DD4CA7">
      <w:pPr>
        <w:pStyle w:val="Reference"/>
        <w:rPr>
          <w:rFonts w:ascii="Times New Roman" w:eastAsia="Batang" w:hAnsi="Times New Roman"/>
          <w:szCs w:val="22"/>
          <w:lang w:eastAsia="ko-KR"/>
        </w:rPr>
      </w:pPr>
      <w:r w:rsidRPr="002B768A">
        <w:rPr>
          <w:rFonts w:ascii="Times New Roman" w:hAnsi="Times New Roman"/>
        </w:rPr>
        <w:t xml:space="preserve">R. G. Maunder, “The 5G Channel Code Contenders”, </w:t>
      </w:r>
      <w:proofErr w:type="spellStart"/>
      <w:r w:rsidRPr="002B768A">
        <w:rPr>
          <w:rFonts w:ascii="Times New Roman" w:hAnsi="Times New Roman"/>
        </w:rPr>
        <w:t>AccelerComm</w:t>
      </w:r>
      <w:proofErr w:type="spellEnd"/>
      <w:r w:rsidRPr="002B768A">
        <w:rPr>
          <w:rFonts w:ascii="Times New Roman" w:hAnsi="Times New Roman"/>
        </w:rPr>
        <w:t xml:space="preserve"> White Paper, August 2016. Available: </w:t>
      </w:r>
      <w:hyperlink r:id="rId19" w:history="1">
        <w:r w:rsidRPr="002B768A">
          <w:rPr>
            <w:rStyle w:val="Hyperlink"/>
            <w:rFonts w:ascii="Times New Roman" w:hAnsi="Times New Roman"/>
          </w:rPr>
          <w:t>http://www.accelercomm.com</w:t>
        </w:r>
      </w:hyperlink>
    </w:p>
    <w:p w:rsidR="00DD4CA7" w:rsidRPr="002B768A" w:rsidRDefault="00DD4CA7" w:rsidP="00A75AE3">
      <w:pPr>
        <w:pStyle w:val="Reference"/>
        <w:rPr>
          <w:rStyle w:val="Hyperlink"/>
          <w:rFonts w:ascii="Times New Roman" w:hAnsi="Times New Roman"/>
          <w:color w:val="auto"/>
          <w:u w:val="none"/>
          <w:lang w:val="en-US"/>
        </w:rPr>
      </w:pPr>
      <w:r w:rsidRPr="002B768A">
        <w:rPr>
          <w:rFonts w:ascii="Times New Roman" w:hAnsi="Times New Roman"/>
        </w:rPr>
        <w:t>R. G. Maunder, "Survey of ASIC implementations of LDPC decoders”, University of Southampton, August 2016. Available: </w:t>
      </w:r>
      <w:hyperlink r:id="rId20" w:history="1">
        <w:r w:rsidRPr="002B768A">
          <w:rPr>
            <w:rStyle w:val="Hyperlink"/>
            <w:rFonts w:ascii="Times New Roman" w:hAnsi="Times New Roman"/>
          </w:rPr>
          <w:t>http://eprints.soton.ac.uk/399259/</w:t>
        </w:r>
      </w:hyperlink>
    </w:p>
    <w:p w:rsidR="00DD4CA7" w:rsidRPr="002B768A" w:rsidRDefault="00DD4CA7" w:rsidP="00A75AE3">
      <w:pPr>
        <w:pStyle w:val="Reference"/>
        <w:rPr>
          <w:rFonts w:ascii="Times New Roman" w:hAnsi="Times New Roman"/>
          <w:lang w:val="en-US"/>
        </w:rPr>
      </w:pPr>
      <w:r w:rsidRPr="002B768A">
        <w:rPr>
          <w:rFonts w:ascii="Times New Roman" w:eastAsia="Batang" w:hAnsi="Times New Roman"/>
          <w:szCs w:val="22"/>
          <w:lang w:eastAsia="ko-KR"/>
        </w:rPr>
        <w:t xml:space="preserve">P. </w:t>
      </w:r>
      <w:proofErr w:type="spellStart"/>
      <w:r w:rsidRPr="002B768A">
        <w:rPr>
          <w:rFonts w:ascii="Times New Roman" w:eastAsia="Batang" w:hAnsi="Times New Roman"/>
          <w:szCs w:val="22"/>
          <w:lang w:eastAsia="ko-KR"/>
        </w:rPr>
        <w:t>Hailes</w:t>
      </w:r>
      <w:proofErr w:type="spellEnd"/>
      <w:r w:rsidRPr="002B768A">
        <w:rPr>
          <w:rFonts w:ascii="Times New Roman" w:eastAsia="Batang" w:hAnsi="Times New Roman"/>
          <w:szCs w:val="22"/>
          <w:lang w:eastAsia="ko-KR"/>
        </w:rPr>
        <w:t xml:space="preserve">, </w:t>
      </w:r>
      <w:proofErr w:type="gramStart"/>
      <w:r w:rsidRPr="002B768A">
        <w:rPr>
          <w:rFonts w:ascii="Times New Roman" w:eastAsia="Batang" w:hAnsi="Times New Roman"/>
          <w:szCs w:val="22"/>
          <w:lang w:eastAsia="ko-KR"/>
        </w:rPr>
        <w:t>et</w:t>
      </w:r>
      <w:proofErr w:type="gramEnd"/>
      <w:r w:rsidRPr="002B768A">
        <w:rPr>
          <w:rFonts w:ascii="Times New Roman" w:eastAsia="Batang" w:hAnsi="Times New Roman"/>
          <w:szCs w:val="22"/>
          <w:lang w:eastAsia="ko-KR"/>
        </w:rPr>
        <w:t>. al., “A Survey of FPGA-Based LDPC Decoders</w:t>
      </w:r>
      <w:proofErr w:type="gramStart"/>
      <w:r w:rsidRPr="002B768A">
        <w:rPr>
          <w:rFonts w:ascii="Times New Roman" w:eastAsia="Batang" w:hAnsi="Times New Roman"/>
          <w:szCs w:val="22"/>
          <w:lang w:eastAsia="ko-KR"/>
        </w:rPr>
        <w:t>, ”</w:t>
      </w:r>
      <w:proofErr w:type="gramEnd"/>
      <w:r w:rsidRPr="002B768A">
        <w:rPr>
          <w:rFonts w:ascii="Times New Roman" w:hAnsi="Times New Roman"/>
        </w:rPr>
        <w:t xml:space="preserve"> </w:t>
      </w:r>
      <w:r w:rsidRPr="002B768A">
        <w:rPr>
          <w:rFonts w:ascii="Times New Roman" w:eastAsia="Batang" w:hAnsi="Times New Roman"/>
          <w:szCs w:val="22"/>
          <w:lang w:eastAsia="ko-KR"/>
        </w:rPr>
        <w:t>IEEE COMMUNICATIONS SURVEYS &amp; TUTORIALS, VOL. 18, NO. 2, SECOND QUARTER 2016.</w:t>
      </w:r>
    </w:p>
    <w:p w:rsidR="00F21825" w:rsidRPr="00B6417B" w:rsidRDefault="00F21825" w:rsidP="00F21825">
      <w:pPr>
        <w:pStyle w:val="Reference"/>
        <w:numPr>
          <w:ilvl w:val="0"/>
          <w:numId w:val="0"/>
        </w:numPr>
        <w:ind w:left="567"/>
        <w:rPr>
          <w:lang w:val="en-US"/>
        </w:rPr>
      </w:pPr>
    </w:p>
    <w:p w:rsidR="00F21825" w:rsidRPr="008C7356" w:rsidRDefault="00F21825" w:rsidP="00F21825">
      <w:pPr>
        <w:pStyle w:val="Reference"/>
        <w:numPr>
          <w:ilvl w:val="0"/>
          <w:numId w:val="0"/>
        </w:numPr>
        <w:ind w:left="567"/>
        <w:rPr>
          <w:lang w:val="en-US"/>
        </w:rPr>
      </w:pPr>
    </w:p>
    <w:bookmarkEnd w:id="10"/>
    <w:bookmarkEnd w:id="11"/>
    <w:p w:rsidR="00F21825" w:rsidRPr="00DF5B71" w:rsidRDefault="00F21825" w:rsidP="00F21825">
      <w:pPr>
        <w:pStyle w:val="Reference"/>
        <w:numPr>
          <w:ilvl w:val="0"/>
          <w:numId w:val="0"/>
        </w:numPr>
        <w:ind w:left="567" w:hanging="567"/>
        <w:rPr>
          <w:lang w:val="en-US"/>
        </w:rPr>
      </w:pPr>
    </w:p>
    <w:p w:rsidR="00C267C8" w:rsidRDefault="00C267C8" w:rsidP="00C267C8">
      <w:pPr>
        <w:pStyle w:val="BodyText"/>
        <w:rPr>
          <w:noProof/>
          <w:lang w:eastAsia="zh-CN"/>
        </w:rPr>
      </w:pPr>
    </w:p>
    <w:p w:rsidR="0019032E" w:rsidRPr="00F21825" w:rsidRDefault="0019032E" w:rsidP="00F21825">
      <w:pPr>
        <w:pStyle w:val="BodyText"/>
        <w:rPr>
          <w:szCs w:val="20"/>
        </w:rPr>
      </w:pPr>
    </w:p>
    <w:sectPr w:rsidR="0019032E" w:rsidRPr="00F21825">
      <w:headerReference w:type="even" r:id="rId21"/>
      <w:headerReference w:type="default" r:id="rId22"/>
      <w:footerReference w:type="even" r:id="rId23"/>
      <w:footerReference w:type="default" r:id="rId24"/>
      <w:headerReference w:type="first" r:id="rId25"/>
      <w:footerReference w:type="first" r:id="rId2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1D22" w:rsidRDefault="00031D22">
      <w:r>
        <w:separator/>
      </w:r>
    </w:p>
  </w:endnote>
  <w:endnote w:type="continuationSeparator" w:id="0">
    <w:p w:rsidR="00031D22" w:rsidRDefault="00031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7597" w:rsidRDefault="00B3759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7597" w:rsidRDefault="00B3759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7597" w:rsidRDefault="00B3759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1D22" w:rsidRDefault="00031D22">
      <w:r>
        <w:separator/>
      </w:r>
    </w:p>
  </w:footnote>
  <w:footnote w:type="continuationSeparator" w:id="0">
    <w:p w:rsidR="00031D22" w:rsidRDefault="00031D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7597" w:rsidRDefault="00B3759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7597" w:rsidRDefault="00B37597" w:rsidP="00B37597">
    <w:pPr>
      <w:pStyle w:val="Header"/>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7597" w:rsidRDefault="00B3759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4D0116"/>
    <w:multiLevelType w:val="hybridMultilevel"/>
    <w:tmpl w:val="5FC09E5E"/>
    <w:lvl w:ilvl="0" w:tplc="A9301D9E">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B402C0B"/>
    <w:multiLevelType w:val="hybridMultilevel"/>
    <w:tmpl w:val="B1FE0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BE2287E"/>
    <w:multiLevelType w:val="hybridMultilevel"/>
    <w:tmpl w:val="9D100050"/>
    <w:lvl w:ilvl="0" w:tplc="B4D4D9E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535749B"/>
    <w:multiLevelType w:val="hybridMultilevel"/>
    <w:tmpl w:val="68C25A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nsid w:val="3AA46647"/>
    <w:multiLevelType w:val="hybridMultilevel"/>
    <w:tmpl w:val="0C76814E"/>
    <w:lvl w:ilvl="0" w:tplc="0618288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62DF4296"/>
    <w:multiLevelType w:val="hybridMultilevel"/>
    <w:tmpl w:val="64FC8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5F2298C"/>
    <w:multiLevelType w:val="hybridMultilevel"/>
    <w:tmpl w:val="4D32CF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A0E3274"/>
    <w:multiLevelType w:val="hybridMultilevel"/>
    <w:tmpl w:val="9408707A"/>
    <w:lvl w:ilvl="0" w:tplc="B4D4D9E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0"/>
  </w:num>
  <w:num w:numId="2">
    <w:abstractNumId w:val="6"/>
  </w:num>
  <w:num w:numId="3">
    <w:abstractNumId w:val="5"/>
  </w:num>
  <w:num w:numId="4">
    <w:abstractNumId w:val="5"/>
    <w:lvlOverride w:ilvl="0">
      <w:startOverride w:val="1"/>
    </w:lvlOverride>
  </w:num>
  <w:num w:numId="5">
    <w:abstractNumId w:val="7"/>
  </w:num>
  <w:num w:numId="6">
    <w:abstractNumId w:val="4"/>
  </w:num>
  <w:num w:numId="7">
    <w:abstractNumId w:val="9"/>
  </w:num>
  <w:num w:numId="8">
    <w:abstractNumId w:val="3"/>
  </w:num>
  <w:num w:numId="9">
    <w:abstractNumId w:val="1"/>
  </w:num>
  <w:num w:numId="10">
    <w:abstractNumId w:val="2"/>
  </w:num>
  <w:num w:numId="11">
    <w:abstractNumId w:val="10"/>
  </w:num>
  <w:num w:numId="12">
    <w:abstractNumId w:val="10"/>
  </w:num>
  <w:num w:numId="13">
    <w:abstractNumId w:val="6"/>
  </w:num>
  <w:num w:numId="14">
    <w:abstractNumId w:val="8"/>
  </w:num>
  <w:num w:numId="15">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doNotDisplayPageBoundaries/>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16862"/>
    <w:rsid w:val="00017379"/>
    <w:rsid w:val="00031D22"/>
    <w:rsid w:val="00033A3B"/>
    <w:rsid w:val="00060127"/>
    <w:rsid w:val="00085DD8"/>
    <w:rsid w:val="000A258F"/>
    <w:rsid w:val="000A49AC"/>
    <w:rsid w:val="000A5795"/>
    <w:rsid w:val="000D7E7D"/>
    <w:rsid w:val="000E319B"/>
    <w:rsid w:val="000E3961"/>
    <w:rsid w:val="000E55FB"/>
    <w:rsid w:val="000F6819"/>
    <w:rsid w:val="0010606E"/>
    <w:rsid w:val="00112E18"/>
    <w:rsid w:val="00121072"/>
    <w:rsid w:val="00125DF5"/>
    <w:rsid w:val="00127263"/>
    <w:rsid w:val="0013436B"/>
    <w:rsid w:val="00141448"/>
    <w:rsid w:val="001470B4"/>
    <w:rsid w:val="00155A50"/>
    <w:rsid w:val="00156116"/>
    <w:rsid w:val="00157EC9"/>
    <w:rsid w:val="00165B4D"/>
    <w:rsid w:val="00170D57"/>
    <w:rsid w:val="00170FA8"/>
    <w:rsid w:val="0019032E"/>
    <w:rsid w:val="001B7EC0"/>
    <w:rsid w:val="001C0AC4"/>
    <w:rsid w:val="001C3DC1"/>
    <w:rsid w:val="001E6212"/>
    <w:rsid w:val="001F2482"/>
    <w:rsid w:val="001F6D5F"/>
    <w:rsid w:val="002002E1"/>
    <w:rsid w:val="00200846"/>
    <w:rsid w:val="00201DEA"/>
    <w:rsid w:val="0020320B"/>
    <w:rsid w:val="0021013F"/>
    <w:rsid w:val="00216BB9"/>
    <w:rsid w:val="00221AC0"/>
    <w:rsid w:val="002360A7"/>
    <w:rsid w:val="00247EA4"/>
    <w:rsid w:val="00253F4D"/>
    <w:rsid w:val="00257FE2"/>
    <w:rsid w:val="002721CD"/>
    <w:rsid w:val="00281071"/>
    <w:rsid w:val="00290099"/>
    <w:rsid w:val="002947BB"/>
    <w:rsid w:val="00295578"/>
    <w:rsid w:val="002B768A"/>
    <w:rsid w:val="002C0C6E"/>
    <w:rsid w:val="002C35BE"/>
    <w:rsid w:val="002C6AF6"/>
    <w:rsid w:val="002D0EC5"/>
    <w:rsid w:val="002D5F1C"/>
    <w:rsid w:val="002F163B"/>
    <w:rsid w:val="002F44FA"/>
    <w:rsid w:val="00312193"/>
    <w:rsid w:val="00320984"/>
    <w:rsid w:val="00322699"/>
    <w:rsid w:val="003230BB"/>
    <w:rsid w:val="00324B63"/>
    <w:rsid w:val="00327382"/>
    <w:rsid w:val="00344EFF"/>
    <w:rsid w:val="003459BF"/>
    <w:rsid w:val="00346FF8"/>
    <w:rsid w:val="00351784"/>
    <w:rsid w:val="0037327E"/>
    <w:rsid w:val="0038343C"/>
    <w:rsid w:val="00385886"/>
    <w:rsid w:val="00385FEE"/>
    <w:rsid w:val="003875A3"/>
    <w:rsid w:val="003B3AD2"/>
    <w:rsid w:val="003C3766"/>
    <w:rsid w:val="003D4D96"/>
    <w:rsid w:val="003E069C"/>
    <w:rsid w:val="003E283C"/>
    <w:rsid w:val="003F2C7E"/>
    <w:rsid w:val="004079A7"/>
    <w:rsid w:val="00413DFD"/>
    <w:rsid w:val="0044233C"/>
    <w:rsid w:val="004423F3"/>
    <w:rsid w:val="0044560D"/>
    <w:rsid w:val="00445E32"/>
    <w:rsid w:val="004524D0"/>
    <w:rsid w:val="00471D8E"/>
    <w:rsid w:val="0047299A"/>
    <w:rsid w:val="00477E46"/>
    <w:rsid w:val="0048366C"/>
    <w:rsid w:val="00486F6F"/>
    <w:rsid w:val="00494387"/>
    <w:rsid w:val="004B2E21"/>
    <w:rsid w:val="004C0F71"/>
    <w:rsid w:val="004C39D8"/>
    <w:rsid w:val="004C497D"/>
    <w:rsid w:val="004D2A52"/>
    <w:rsid w:val="004D6CF3"/>
    <w:rsid w:val="004F0B47"/>
    <w:rsid w:val="004F4553"/>
    <w:rsid w:val="0052426E"/>
    <w:rsid w:val="00525ED9"/>
    <w:rsid w:val="00530D54"/>
    <w:rsid w:val="005356DB"/>
    <w:rsid w:val="00541107"/>
    <w:rsid w:val="0056346B"/>
    <w:rsid w:val="00585603"/>
    <w:rsid w:val="005A0AF6"/>
    <w:rsid w:val="005B112E"/>
    <w:rsid w:val="005C4546"/>
    <w:rsid w:val="005D2FB7"/>
    <w:rsid w:val="005E6BDE"/>
    <w:rsid w:val="005E6E83"/>
    <w:rsid w:val="005F0B52"/>
    <w:rsid w:val="005F158B"/>
    <w:rsid w:val="005F15B7"/>
    <w:rsid w:val="005F5FAB"/>
    <w:rsid w:val="005F65DA"/>
    <w:rsid w:val="0060025A"/>
    <w:rsid w:val="00611A74"/>
    <w:rsid w:val="0061481E"/>
    <w:rsid w:val="006164CA"/>
    <w:rsid w:val="00620B65"/>
    <w:rsid w:val="00624696"/>
    <w:rsid w:val="00626749"/>
    <w:rsid w:val="00635EBE"/>
    <w:rsid w:val="0064014B"/>
    <w:rsid w:val="00657A2D"/>
    <w:rsid w:val="00683FCD"/>
    <w:rsid w:val="00697FBD"/>
    <w:rsid w:val="006A286A"/>
    <w:rsid w:val="006A3324"/>
    <w:rsid w:val="006B33FB"/>
    <w:rsid w:val="006B4DFF"/>
    <w:rsid w:val="006C1619"/>
    <w:rsid w:val="006C53B9"/>
    <w:rsid w:val="006C7FEE"/>
    <w:rsid w:val="006D1B98"/>
    <w:rsid w:val="006D61C6"/>
    <w:rsid w:val="006D75ED"/>
    <w:rsid w:val="006E412E"/>
    <w:rsid w:val="006F1132"/>
    <w:rsid w:val="0070384F"/>
    <w:rsid w:val="00711010"/>
    <w:rsid w:val="007562B7"/>
    <w:rsid w:val="00761DBA"/>
    <w:rsid w:val="00787950"/>
    <w:rsid w:val="00792A02"/>
    <w:rsid w:val="007A5A53"/>
    <w:rsid w:val="007C24E5"/>
    <w:rsid w:val="007C5BCB"/>
    <w:rsid w:val="007D63F6"/>
    <w:rsid w:val="007D7419"/>
    <w:rsid w:val="007E38BD"/>
    <w:rsid w:val="007E58DA"/>
    <w:rsid w:val="007E7148"/>
    <w:rsid w:val="007F7E3A"/>
    <w:rsid w:val="00800B02"/>
    <w:rsid w:val="00800B78"/>
    <w:rsid w:val="008019CB"/>
    <w:rsid w:val="00802F29"/>
    <w:rsid w:val="00822CA8"/>
    <w:rsid w:val="00834DE7"/>
    <w:rsid w:val="00845D30"/>
    <w:rsid w:val="0086131E"/>
    <w:rsid w:val="00876CAA"/>
    <w:rsid w:val="00883467"/>
    <w:rsid w:val="00894D82"/>
    <w:rsid w:val="008A6C64"/>
    <w:rsid w:val="008A7666"/>
    <w:rsid w:val="008B2DCC"/>
    <w:rsid w:val="008C558F"/>
    <w:rsid w:val="008D193C"/>
    <w:rsid w:val="008E237F"/>
    <w:rsid w:val="008E3A0F"/>
    <w:rsid w:val="008F2544"/>
    <w:rsid w:val="00904357"/>
    <w:rsid w:val="00906233"/>
    <w:rsid w:val="00933F48"/>
    <w:rsid w:val="00934421"/>
    <w:rsid w:val="00937381"/>
    <w:rsid w:val="009457F5"/>
    <w:rsid w:val="00950ACB"/>
    <w:rsid w:val="00955D91"/>
    <w:rsid w:val="00965A93"/>
    <w:rsid w:val="00987981"/>
    <w:rsid w:val="0099072E"/>
    <w:rsid w:val="0099534B"/>
    <w:rsid w:val="009A451B"/>
    <w:rsid w:val="009A6BB8"/>
    <w:rsid w:val="009A6CE1"/>
    <w:rsid w:val="009A7896"/>
    <w:rsid w:val="009B0962"/>
    <w:rsid w:val="009B2430"/>
    <w:rsid w:val="009B2E48"/>
    <w:rsid w:val="009D0774"/>
    <w:rsid w:val="009D1F04"/>
    <w:rsid w:val="009D7104"/>
    <w:rsid w:val="009E0608"/>
    <w:rsid w:val="009E171B"/>
    <w:rsid w:val="00A05CB4"/>
    <w:rsid w:val="00A13679"/>
    <w:rsid w:val="00A43511"/>
    <w:rsid w:val="00A44697"/>
    <w:rsid w:val="00A54B0C"/>
    <w:rsid w:val="00A6146E"/>
    <w:rsid w:val="00A673F8"/>
    <w:rsid w:val="00A75AE3"/>
    <w:rsid w:val="00A81AA1"/>
    <w:rsid w:val="00A8257E"/>
    <w:rsid w:val="00A83845"/>
    <w:rsid w:val="00A840F1"/>
    <w:rsid w:val="00A853E9"/>
    <w:rsid w:val="00AA13EF"/>
    <w:rsid w:val="00AA4FE7"/>
    <w:rsid w:val="00AA5052"/>
    <w:rsid w:val="00AA7730"/>
    <w:rsid w:val="00AA7FF6"/>
    <w:rsid w:val="00AB3D53"/>
    <w:rsid w:val="00AB6496"/>
    <w:rsid w:val="00AD5657"/>
    <w:rsid w:val="00B05B6E"/>
    <w:rsid w:val="00B2694B"/>
    <w:rsid w:val="00B368D9"/>
    <w:rsid w:val="00B37597"/>
    <w:rsid w:val="00B452B7"/>
    <w:rsid w:val="00B52306"/>
    <w:rsid w:val="00B63B1B"/>
    <w:rsid w:val="00B66D9C"/>
    <w:rsid w:val="00B76B23"/>
    <w:rsid w:val="00B82A22"/>
    <w:rsid w:val="00BA002C"/>
    <w:rsid w:val="00BA22E2"/>
    <w:rsid w:val="00BA2CDD"/>
    <w:rsid w:val="00BB216E"/>
    <w:rsid w:val="00BC6255"/>
    <w:rsid w:val="00BD23E6"/>
    <w:rsid w:val="00BD5018"/>
    <w:rsid w:val="00BF7546"/>
    <w:rsid w:val="00C023BB"/>
    <w:rsid w:val="00C02EAD"/>
    <w:rsid w:val="00C0420B"/>
    <w:rsid w:val="00C1160F"/>
    <w:rsid w:val="00C1560A"/>
    <w:rsid w:val="00C2082B"/>
    <w:rsid w:val="00C24E6E"/>
    <w:rsid w:val="00C259A9"/>
    <w:rsid w:val="00C267C8"/>
    <w:rsid w:val="00C4154B"/>
    <w:rsid w:val="00C61496"/>
    <w:rsid w:val="00C87953"/>
    <w:rsid w:val="00C92453"/>
    <w:rsid w:val="00C93774"/>
    <w:rsid w:val="00CE28B2"/>
    <w:rsid w:val="00CE482C"/>
    <w:rsid w:val="00CE59BC"/>
    <w:rsid w:val="00CF67BE"/>
    <w:rsid w:val="00D01669"/>
    <w:rsid w:val="00D03119"/>
    <w:rsid w:val="00D03174"/>
    <w:rsid w:val="00D14338"/>
    <w:rsid w:val="00D4007F"/>
    <w:rsid w:val="00D44597"/>
    <w:rsid w:val="00D517B4"/>
    <w:rsid w:val="00D612D8"/>
    <w:rsid w:val="00D61D57"/>
    <w:rsid w:val="00D64311"/>
    <w:rsid w:val="00D74954"/>
    <w:rsid w:val="00D7691A"/>
    <w:rsid w:val="00D866CF"/>
    <w:rsid w:val="00D876D6"/>
    <w:rsid w:val="00D90824"/>
    <w:rsid w:val="00D92C01"/>
    <w:rsid w:val="00DA110D"/>
    <w:rsid w:val="00DA4770"/>
    <w:rsid w:val="00DB0BCD"/>
    <w:rsid w:val="00DB65FD"/>
    <w:rsid w:val="00DC0BC6"/>
    <w:rsid w:val="00DC349A"/>
    <w:rsid w:val="00DC7FAC"/>
    <w:rsid w:val="00DD0E76"/>
    <w:rsid w:val="00DD4CA7"/>
    <w:rsid w:val="00DE5831"/>
    <w:rsid w:val="00DF262C"/>
    <w:rsid w:val="00DF4F1A"/>
    <w:rsid w:val="00E067C6"/>
    <w:rsid w:val="00E251F5"/>
    <w:rsid w:val="00E26FC4"/>
    <w:rsid w:val="00E2780A"/>
    <w:rsid w:val="00E41F46"/>
    <w:rsid w:val="00E63D88"/>
    <w:rsid w:val="00E669FE"/>
    <w:rsid w:val="00E83025"/>
    <w:rsid w:val="00E840C9"/>
    <w:rsid w:val="00E9369A"/>
    <w:rsid w:val="00E956F8"/>
    <w:rsid w:val="00EA422E"/>
    <w:rsid w:val="00EA7649"/>
    <w:rsid w:val="00EB6F62"/>
    <w:rsid w:val="00EC59E9"/>
    <w:rsid w:val="00EE22C1"/>
    <w:rsid w:val="00EE4688"/>
    <w:rsid w:val="00EF4A17"/>
    <w:rsid w:val="00F1090D"/>
    <w:rsid w:val="00F21825"/>
    <w:rsid w:val="00F238F5"/>
    <w:rsid w:val="00F273BC"/>
    <w:rsid w:val="00F279EC"/>
    <w:rsid w:val="00F35D8D"/>
    <w:rsid w:val="00F4308F"/>
    <w:rsid w:val="00F4403C"/>
    <w:rsid w:val="00F4793E"/>
    <w:rsid w:val="00F5372E"/>
    <w:rsid w:val="00F647C0"/>
    <w:rsid w:val="00F66F2B"/>
    <w:rsid w:val="00F7170E"/>
    <w:rsid w:val="00F71DE2"/>
    <w:rsid w:val="00F72619"/>
    <w:rsid w:val="00F917C1"/>
    <w:rsid w:val="00F97E48"/>
    <w:rsid w:val="00FB4AED"/>
    <w:rsid w:val="00FC1DC7"/>
    <w:rsid w:val="00FC66AB"/>
    <w:rsid w:val="00FD43FF"/>
    <w:rsid w:val="00FE5799"/>
    <w:rsid w:val="00FF44E9"/>
    <w:rsid w:val="00FF67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SimSun"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标题 1,Alt+1,Alt+11,Alt+12,Alt+13"/>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标题 2"/>
    <w:basedOn w:val="Normal"/>
    <w:next w:val="BodyText"/>
    <w:link w:val="Heading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标题 4"/>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6">
    <w:name w:val="heading 6"/>
    <w:basedOn w:val="Normal"/>
    <w:next w:val="Normal"/>
    <w:link w:val="Heading6Char"/>
    <w:qFormat/>
    <w:rsid w:val="00F21825"/>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hAnsi="Arial" w:cs="Arial"/>
      <w:szCs w:val="20"/>
      <w:lang w:val="en-GB" w:eastAsia="zh-CN"/>
    </w:rPr>
  </w:style>
  <w:style w:type="paragraph" w:styleId="Heading7">
    <w:name w:val="heading 7"/>
    <w:basedOn w:val="Normal"/>
    <w:next w:val="Normal"/>
    <w:link w:val="Heading7Char"/>
    <w:qFormat/>
    <w:rsid w:val="00F21825"/>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hAnsi="Arial" w:cs="Arial"/>
      <w:szCs w:val="20"/>
      <w:lang w:val="en-GB" w:eastAsia="zh-CN"/>
    </w:rPr>
  </w:style>
  <w:style w:type="paragraph" w:styleId="Heading8">
    <w:name w:val="heading 8"/>
    <w:basedOn w:val="Heading7"/>
    <w:next w:val="Normal"/>
    <w:link w:val="Heading8Char"/>
    <w:qFormat/>
    <w:rsid w:val="00F21825"/>
    <w:pPr>
      <w:tabs>
        <w:tab w:val="clear" w:pos="1296"/>
        <w:tab w:val="num" w:pos="1440"/>
      </w:tabs>
      <w:ind w:left="1440" w:hanging="1440"/>
      <w:outlineLvl w:val="7"/>
    </w:pPr>
  </w:style>
  <w:style w:type="paragraph" w:styleId="Heading9">
    <w:name w:val="heading 9"/>
    <w:basedOn w:val="Heading8"/>
    <w:next w:val="Normal"/>
    <w:link w:val="Heading9Char"/>
    <w:qFormat/>
    <w:rsid w:val="00F21825"/>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标题 2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paragraph" w:styleId="ListParagraph">
    <w:name w:val="List Paragraph"/>
    <w:basedOn w:val="Normal"/>
    <w:uiPriority w:val="34"/>
    <w:qFormat/>
    <w:rsid w:val="00F21825"/>
    <w:pPr>
      <w:spacing w:after="200" w:line="276" w:lineRule="auto"/>
      <w:ind w:left="720"/>
      <w:contextualSpacing/>
    </w:pPr>
    <w:rPr>
      <w:rFonts w:ascii="Calibri" w:eastAsia="Calibri" w:hAnsi="Calibri"/>
      <w:sz w:val="22"/>
      <w:szCs w:val="22"/>
    </w:rPr>
  </w:style>
  <w:style w:type="character" w:customStyle="1" w:styleId="Heading6Char">
    <w:name w:val="Heading 6 Char"/>
    <w:basedOn w:val="DefaultParagraphFont"/>
    <w:link w:val="Heading6"/>
    <w:rsid w:val="00F21825"/>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F21825"/>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F21825"/>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F21825"/>
    <w:rPr>
      <w:rFonts w:ascii="Arial" w:eastAsia="Times New Roman" w:hAnsi="Arial" w:cs="Arial"/>
      <w:sz w:val="20"/>
      <w:szCs w:val="20"/>
      <w:lang w:val="en-GB" w:eastAsia="zh-CN"/>
    </w:rPr>
  </w:style>
  <w:style w:type="paragraph" w:customStyle="1" w:styleId="Reference">
    <w:name w:val="Reference"/>
    <w:basedOn w:val="Normal"/>
    <w:link w:val="ReferenceChar"/>
    <w:qFormat/>
    <w:rsid w:val="00F21825"/>
    <w:pPr>
      <w:numPr>
        <w:numId w:val="2"/>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F21825"/>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F917C1"/>
    <w:rPr>
      <w:rFonts w:ascii="Tahoma" w:hAnsi="Tahoma" w:cs="Tahoma"/>
      <w:sz w:val="16"/>
      <w:szCs w:val="16"/>
    </w:rPr>
  </w:style>
  <w:style w:type="character" w:customStyle="1" w:styleId="BalloonTextChar">
    <w:name w:val="Balloon Text Char"/>
    <w:basedOn w:val="DefaultParagraphFont"/>
    <w:link w:val="BalloonText"/>
    <w:uiPriority w:val="99"/>
    <w:semiHidden/>
    <w:rsid w:val="00F917C1"/>
    <w:rPr>
      <w:rFonts w:ascii="Tahoma" w:eastAsia="Times New Roman" w:hAnsi="Tahoma" w:cs="Tahoma"/>
      <w:sz w:val="16"/>
      <w:szCs w:val="16"/>
      <w:lang w:val="en-US"/>
    </w:rPr>
  </w:style>
  <w:style w:type="paragraph" w:customStyle="1" w:styleId="Proposal">
    <w:name w:val="Proposal"/>
    <w:basedOn w:val="Normal"/>
    <w:rsid w:val="007C5BCB"/>
    <w:pPr>
      <w:numPr>
        <w:numId w:val="3"/>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TAH">
    <w:name w:val="TAH"/>
    <w:basedOn w:val="TAC"/>
    <w:rsid w:val="0019032E"/>
    <w:rPr>
      <w:b/>
    </w:rPr>
  </w:style>
  <w:style w:type="paragraph" w:customStyle="1" w:styleId="TAC">
    <w:name w:val="TAC"/>
    <w:basedOn w:val="Normal"/>
    <w:rsid w:val="0019032E"/>
    <w:pPr>
      <w:keepNext/>
      <w:keepLines/>
      <w:jc w:val="center"/>
    </w:pPr>
    <w:rPr>
      <w:rFonts w:ascii="Arial" w:hAnsi="Arial"/>
      <w:sz w:val="18"/>
      <w:szCs w:val="20"/>
      <w:lang w:val="en-GB"/>
    </w:rPr>
  </w:style>
  <w:style w:type="paragraph" w:customStyle="1" w:styleId="TH">
    <w:name w:val="TH"/>
    <w:basedOn w:val="Normal"/>
    <w:link w:val="THChar"/>
    <w:rsid w:val="0019032E"/>
    <w:pPr>
      <w:keepNext/>
      <w:keepLines/>
      <w:spacing w:before="60" w:after="180"/>
      <w:jc w:val="center"/>
    </w:pPr>
    <w:rPr>
      <w:rFonts w:ascii="Arial" w:hAnsi="Arial"/>
      <w:b/>
      <w:szCs w:val="20"/>
      <w:lang w:val="en-GB"/>
    </w:rPr>
  </w:style>
  <w:style w:type="character" w:customStyle="1" w:styleId="THChar">
    <w:name w:val="TH Char"/>
    <w:link w:val="TH"/>
    <w:rsid w:val="0019032E"/>
    <w:rPr>
      <w:rFonts w:ascii="Arial" w:eastAsia="Times New Roman" w:hAnsi="Arial" w:cs="Times New Roman"/>
      <w:b/>
      <w:sz w:val="20"/>
      <w:szCs w:val="20"/>
      <w:lang w:val="en-GB"/>
    </w:rPr>
  </w:style>
  <w:style w:type="character" w:styleId="CommentReference">
    <w:name w:val="annotation reference"/>
    <w:basedOn w:val="DefaultParagraphFont"/>
    <w:uiPriority w:val="99"/>
    <w:semiHidden/>
    <w:unhideWhenUsed/>
    <w:rsid w:val="004C39D8"/>
    <w:rPr>
      <w:sz w:val="16"/>
      <w:szCs w:val="16"/>
    </w:rPr>
  </w:style>
  <w:style w:type="paragraph" w:styleId="CommentText">
    <w:name w:val="annotation text"/>
    <w:basedOn w:val="Normal"/>
    <w:link w:val="CommentTextChar"/>
    <w:uiPriority w:val="99"/>
    <w:semiHidden/>
    <w:unhideWhenUsed/>
    <w:rsid w:val="004C39D8"/>
    <w:rPr>
      <w:szCs w:val="20"/>
    </w:rPr>
  </w:style>
  <w:style w:type="character" w:customStyle="1" w:styleId="CommentTextChar">
    <w:name w:val="Comment Text Char"/>
    <w:basedOn w:val="DefaultParagraphFont"/>
    <w:link w:val="CommentText"/>
    <w:uiPriority w:val="99"/>
    <w:semiHidden/>
    <w:rsid w:val="004C39D8"/>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4C39D8"/>
    <w:rPr>
      <w:b/>
      <w:bCs/>
    </w:rPr>
  </w:style>
  <w:style w:type="character" w:customStyle="1" w:styleId="CommentSubjectChar">
    <w:name w:val="Comment Subject Char"/>
    <w:basedOn w:val="CommentTextChar"/>
    <w:link w:val="CommentSubject"/>
    <w:uiPriority w:val="99"/>
    <w:semiHidden/>
    <w:rsid w:val="004C39D8"/>
    <w:rPr>
      <w:rFonts w:ascii="Times New Roman" w:eastAsia="Times New Roman" w:hAnsi="Times New Roman" w:cs="Times New Roman"/>
      <w:b/>
      <w:bCs/>
      <w:sz w:val="20"/>
      <w:szCs w:val="20"/>
      <w:lang w:val="en-US"/>
    </w:rPr>
  </w:style>
  <w:style w:type="character" w:styleId="Hyperlink">
    <w:name w:val="Hyperlink"/>
    <w:basedOn w:val="DefaultParagraphFont"/>
    <w:uiPriority w:val="99"/>
    <w:unhideWhenUsed/>
    <w:rsid w:val="006C53B9"/>
    <w:rPr>
      <w:color w:val="0000FF" w:themeColor="hyperlink"/>
      <w:u w:val="single"/>
    </w:rPr>
  </w:style>
  <w:style w:type="table" w:styleId="TableGrid">
    <w:name w:val="Table Grid"/>
    <w:basedOn w:val="TableNormal"/>
    <w:uiPriority w:val="59"/>
    <w:rsid w:val="00B452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620B65"/>
    <w:pPr>
      <w:overflowPunct w:val="0"/>
      <w:autoSpaceDE w:val="0"/>
      <w:autoSpaceDN w:val="0"/>
      <w:adjustRightInd w:val="0"/>
      <w:spacing w:after="240"/>
      <w:jc w:val="center"/>
      <w:textAlignment w:val="baseline"/>
    </w:pPr>
    <w:rPr>
      <w:rFonts w:ascii="Arial" w:hAnsi="Arial"/>
      <w:b/>
      <w:bCs/>
      <w:szCs w:val="20"/>
      <w:lang w:val="en-GB" w:eastAsia="zh-CN"/>
    </w:rPr>
  </w:style>
  <w:style w:type="paragraph" w:customStyle="1" w:styleId="References">
    <w:name w:val="References"/>
    <w:basedOn w:val="Normal"/>
    <w:link w:val="ReferencesChar"/>
    <w:rsid w:val="0044233C"/>
    <w:pPr>
      <w:numPr>
        <w:numId w:val="6"/>
      </w:numPr>
      <w:autoSpaceDE w:val="0"/>
      <w:autoSpaceDN w:val="0"/>
      <w:snapToGrid w:val="0"/>
      <w:spacing w:after="60"/>
      <w:jc w:val="both"/>
    </w:pPr>
    <w:rPr>
      <w:rFonts w:eastAsiaTheme="minorEastAsia"/>
      <w:szCs w:val="16"/>
    </w:rPr>
  </w:style>
  <w:style w:type="character" w:customStyle="1" w:styleId="ReferencesChar">
    <w:name w:val="References Char"/>
    <w:basedOn w:val="DefaultParagraphFont"/>
    <w:link w:val="References"/>
    <w:rsid w:val="0044233C"/>
    <w:rPr>
      <w:rFonts w:ascii="Times New Roman" w:eastAsiaTheme="minorEastAsia" w:hAnsi="Times New Roman" w:cs="Times New Roman"/>
      <w:sz w:val="20"/>
      <w:szCs w:val="16"/>
      <w:lang w:val="en-US"/>
    </w:rPr>
  </w:style>
  <w:style w:type="character" w:styleId="FollowedHyperlink">
    <w:name w:val="FollowedHyperlink"/>
    <w:basedOn w:val="DefaultParagraphFont"/>
    <w:uiPriority w:val="99"/>
    <w:semiHidden/>
    <w:unhideWhenUsed/>
    <w:rsid w:val="008A6C64"/>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SimSun"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标题 1,Alt+1,Alt+11,Alt+12,Alt+13"/>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标题 2"/>
    <w:basedOn w:val="Normal"/>
    <w:next w:val="BodyText"/>
    <w:link w:val="Heading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标题 4"/>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6">
    <w:name w:val="heading 6"/>
    <w:basedOn w:val="Normal"/>
    <w:next w:val="Normal"/>
    <w:link w:val="Heading6Char"/>
    <w:qFormat/>
    <w:rsid w:val="00F21825"/>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hAnsi="Arial" w:cs="Arial"/>
      <w:szCs w:val="20"/>
      <w:lang w:val="en-GB" w:eastAsia="zh-CN"/>
    </w:rPr>
  </w:style>
  <w:style w:type="paragraph" w:styleId="Heading7">
    <w:name w:val="heading 7"/>
    <w:basedOn w:val="Normal"/>
    <w:next w:val="Normal"/>
    <w:link w:val="Heading7Char"/>
    <w:qFormat/>
    <w:rsid w:val="00F21825"/>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hAnsi="Arial" w:cs="Arial"/>
      <w:szCs w:val="20"/>
      <w:lang w:val="en-GB" w:eastAsia="zh-CN"/>
    </w:rPr>
  </w:style>
  <w:style w:type="paragraph" w:styleId="Heading8">
    <w:name w:val="heading 8"/>
    <w:basedOn w:val="Heading7"/>
    <w:next w:val="Normal"/>
    <w:link w:val="Heading8Char"/>
    <w:qFormat/>
    <w:rsid w:val="00F21825"/>
    <w:pPr>
      <w:tabs>
        <w:tab w:val="clear" w:pos="1296"/>
        <w:tab w:val="num" w:pos="1440"/>
      </w:tabs>
      <w:ind w:left="1440" w:hanging="1440"/>
      <w:outlineLvl w:val="7"/>
    </w:pPr>
  </w:style>
  <w:style w:type="paragraph" w:styleId="Heading9">
    <w:name w:val="heading 9"/>
    <w:basedOn w:val="Heading8"/>
    <w:next w:val="Normal"/>
    <w:link w:val="Heading9Char"/>
    <w:qFormat/>
    <w:rsid w:val="00F21825"/>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标题 2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paragraph" w:styleId="ListParagraph">
    <w:name w:val="List Paragraph"/>
    <w:basedOn w:val="Normal"/>
    <w:uiPriority w:val="34"/>
    <w:qFormat/>
    <w:rsid w:val="00F21825"/>
    <w:pPr>
      <w:spacing w:after="200" w:line="276" w:lineRule="auto"/>
      <w:ind w:left="720"/>
      <w:contextualSpacing/>
    </w:pPr>
    <w:rPr>
      <w:rFonts w:ascii="Calibri" w:eastAsia="Calibri" w:hAnsi="Calibri"/>
      <w:sz w:val="22"/>
      <w:szCs w:val="22"/>
    </w:rPr>
  </w:style>
  <w:style w:type="character" w:customStyle="1" w:styleId="Heading6Char">
    <w:name w:val="Heading 6 Char"/>
    <w:basedOn w:val="DefaultParagraphFont"/>
    <w:link w:val="Heading6"/>
    <w:rsid w:val="00F21825"/>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F21825"/>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F21825"/>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F21825"/>
    <w:rPr>
      <w:rFonts w:ascii="Arial" w:eastAsia="Times New Roman" w:hAnsi="Arial" w:cs="Arial"/>
      <w:sz w:val="20"/>
      <w:szCs w:val="20"/>
      <w:lang w:val="en-GB" w:eastAsia="zh-CN"/>
    </w:rPr>
  </w:style>
  <w:style w:type="paragraph" w:customStyle="1" w:styleId="Reference">
    <w:name w:val="Reference"/>
    <w:basedOn w:val="Normal"/>
    <w:link w:val="ReferenceChar"/>
    <w:qFormat/>
    <w:rsid w:val="00F21825"/>
    <w:pPr>
      <w:numPr>
        <w:numId w:val="2"/>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F21825"/>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F917C1"/>
    <w:rPr>
      <w:rFonts w:ascii="Tahoma" w:hAnsi="Tahoma" w:cs="Tahoma"/>
      <w:sz w:val="16"/>
      <w:szCs w:val="16"/>
    </w:rPr>
  </w:style>
  <w:style w:type="character" w:customStyle="1" w:styleId="BalloonTextChar">
    <w:name w:val="Balloon Text Char"/>
    <w:basedOn w:val="DefaultParagraphFont"/>
    <w:link w:val="BalloonText"/>
    <w:uiPriority w:val="99"/>
    <w:semiHidden/>
    <w:rsid w:val="00F917C1"/>
    <w:rPr>
      <w:rFonts w:ascii="Tahoma" w:eastAsia="Times New Roman" w:hAnsi="Tahoma" w:cs="Tahoma"/>
      <w:sz w:val="16"/>
      <w:szCs w:val="16"/>
      <w:lang w:val="en-US"/>
    </w:rPr>
  </w:style>
  <w:style w:type="paragraph" w:customStyle="1" w:styleId="Proposal">
    <w:name w:val="Proposal"/>
    <w:basedOn w:val="Normal"/>
    <w:rsid w:val="007C5BCB"/>
    <w:pPr>
      <w:numPr>
        <w:numId w:val="3"/>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TAH">
    <w:name w:val="TAH"/>
    <w:basedOn w:val="TAC"/>
    <w:rsid w:val="0019032E"/>
    <w:rPr>
      <w:b/>
    </w:rPr>
  </w:style>
  <w:style w:type="paragraph" w:customStyle="1" w:styleId="TAC">
    <w:name w:val="TAC"/>
    <w:basedOn w:val="Normal"/>
    <w:rsid w:val="0019032E"/>
    <w:pPr>
      <w:keepNext/>
      <w:keepLines/>
      <w:jc w:val="center"/>
    </w:pPr>
    <w:rPr>
      <w:rFonts w:ascii="Arial" w:hAnsi="Arial"/>
      <w:sz w:val="18"/>
      <w:szCs w:val="20"/>
      <w:lang w:val="en-GB"/>
    </w:rPr>
  </w:style>
  <w:style w:type="paragraph" w:customStyle="1" w:styleId="TH">
    <w:name w:val="TH"/>
    <w:basedOn w:val="Normal"/>
    <w:link w:val="THChar"/>
    <w:rsid w:val="0019032E"/>
    <w:pPr>
      <w:keepNext/>
      <w:keepLines/>
      <w:spacing w:before="60" w:after="180"/>
      <w:jc w:val="center"/>
    </w:pPr>
    <w:rPr>
      <w:rFonts w:ascii="Arial" w:hAnsi="Arial"/>
      <w:b/>
      <w:szCs w:val="20"/>
      <w:lang w:val="en-GB"/>
    </w:rPr>
  </w:style>
  <w:style w:type="character" w:customStyle="1" w:styleId="THChar">
    <w:name w:val="TH Char"/>
    <w:link w:val="TH"/>
    <w:rsid w:val="0019032E"/>
    <w:rPr>
      <w:rFonts w:ascii="Arial" w:eastAsia="Times New Roman" w:hAnsi="Arial" w:cs="Times New Roman"/>
      <w:b/>
      <w:sz w:val="20"/>
      <w:szCs w:val="20"/>
      <w:lang w:val="en-GB"/>
    </w:rPr>
  </w:style>
  <w:style w:type="character" w:styleId="CommentReference">
    <w:name w:val="annotation reference"/>
    <w:basedOn w:val="DefaultParagraphFont"/>
    <w:uiPriority w:val="99"/>
    <w:semiHidden/>
    <w:unhideWhenUsed/>
    <w:rsid w:val="004C39D8"/>
    <w:rPr>
      <w:sz w:val="16"/>
      <w:szCs w:val="16"/>
    </w:rPr>
  </w:style>
  <w:style w:type="paragraph" w:styleId="CommentText">
    <w:name w:val="annotation text"/>
    <w:basedOn w:val="Normal"/>
    <w:link w:val="CommentTextChar"/>
    <w:uiPriority w:val="99"/>
    <w:semiHidden/>
    <w:unhideWhenUsed/>
    <w:rsid w:val="004C39D8"/>
    <w:rPr>
      <w:szCs w:val="20"/>
    </w:rPr>
  </w:style>
  <w:style w:type="character" w:customStyle="1" w:styleId="CommentTextChar">
    <w:name w:val="Comment Text Char"/>
    <w:basedOn w:val="DefaultParagraphFont"/>
    <w:link w:val="CommentText"/>
    <w:uiPriority w:val="99"/>
    <w:semiHidden/>
    <w:rsid w:val="004C39D8"/>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4C39D8"/>
    <w:rPr>
      <w:b/>
      <w:bCs/>
    </w:rPr>
  </w:style>
  <w:style w:type="character" w:customStyle="1" w:styleId="CommentSubjectChar">
    <w:name w:val="Comment Subject Char"/>
    <w:basedOn w:val="CommentTextChar"/>
    <w:link w:val="CommentSubject"/>
    <w:uiPriority w:val="99"/>
    <w:semiHidden/>
    <w:rsid w:val="004C39D8"/>
    <w:rPr>
      <w:rFonts w:ascii="Times New Roman" w:eastAsia="Times New Roman" w:hAnsi="Times New Roman" w:cs="Times New Roman"/>
      <w:b/>
      <w:bCs/>
      <w:sz w:val="20"/>
      <w:szCs w:val="20"/>
      <w:lang w:val="en-US"/>
    </w:rPr>
  </w:style>
  <w:style w:type="character" w:styleId="Hyperlink">
    <w:name w:val="Hyperlink"/>
    <w:basedOn w:val="DefaultParagraphFont"/>
    <w:uiPriority w:val="99"/>
    <w:unhideWhenUsed/>
    <w:rsid w:val="006C53B9"/>
    <w:rPr>
      <w:color w:val="0000FF" w:themeColor="hyperlink"/>
      <w:u w:val="single"/>
    </w:rPr>
  </w:style>
  <w:style w:type="table" w:styleId="TableGrid">
    <w:name w:val="Table Grid"/>
    <w:basedOn w:val="TableNormal"/>
    <w:uiPriority w:val="59"/>
    <w:rsid w:val="00B452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620B65"/>
    <w:pPr>
      <w:overflowPunct w:val="0"/>
      <w:autoSpaceDE w:val="0"/>
      <w:autoSpaceDN w:val="0"/>
      <w:adjustRightInd w:val="0"/>
      <w:spacing w:after="240"/>
      <w:jc w:val="center"/>
      <w:textAlignment w:val="baseline"/>
    </w:pPr>
    <w:rPr>
      <w:rFonts w:ascii="Arial" w:hAnsi="Arial"/>
      <w:b/>
      <w:bCs/>
      <w:szCs w:val="20"/>
      <w:lang w:val="en-GB" w:eastAsia="zh-CN"/>
    </w:rPr>
  </w:style>
  <w:style w:type="paragraph" w:customStyle="1" w:styleId="References">
    <w:name w:val="References"/>
    <w:basedOn w:val="Normal"/>
    <w:link w:val="ReferencesChar"/>
    <w:rsid w:val="0044233C"/>
    <w:pPr>
      <w:numPr>
        <w:numId w:val="6"/>
      </w:numPr>
      <w:autoSpaceDE w:val="0"/>
      <w:autoSpaceDN w:val="0"/>
      <w:snapToGrid w:val="0"/>
      <w:spacing w:after="60"/>
      <w:jc w:val="both"/>
    </w:pPr>
    <w:rPr>
      <w:rFonts w:eastAsiaTheme="minorEastAsia"/>
      <w:szCs w:val="16"/>
    </w:rPr>
  </w:style>
  <w:style w:type="character" w:customStyle="1" w:styleId="ReferencesChar">
    <w:name w:val="References Char"/>
    <w:basedOn w:val="DefaultParagraphFont"/>
    <w:link w:val="References"/>
    <w:rsid w:val="0044233C"/>
    <w:rPr>
      <w:rFonts w:ascii="Times New Roman" w:eastAsiaTheme="minorEastAsia" w:hAnsi="Times New Roman" w:cs="Times New Roman"/>
      <w:sz w:val="20"/>
      <w:szCs w:val="16"/>
      <w:lang w:val="en-US"/>
    </w:rPr>
  </w:style>
  <w:style w:type="character" w:styleId="FollowedHyperlink">
    <w:name w:val="FollowedHyperlink"/>
    <w:basedOn w:val="DefaultParagraphFont"/>
    <w:uiPriority w:val="99"/>
    <w:semiHidden/>
    <w:unhideWhenUsed/>
    <w:rsid w:val="008A6C6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080129">
      <w:bodyDiv w:val="1"/>
      <w:marLeft w:val="0"/>
      <w:marRight w:val="0"/>
      <w:marTop w:val="0"/>
      <w:marBottom w:val="0"/>
      <w:divBdr>
        <w:top w:val="none" w:sz="0" w:space="0" w:color="auto"/>
        <w:left w:val="none" w:sz="0" w:space="0" w:color="auto"/>
        <w:bottom w:val="none" w:sz="0" w:space="0" w:color="auto"/>
        <w:right w:val="none" w:sz="0" w:space="0" w:color="auto"/>
      </w:divBdr>
    </w:div>
    <w:div w:id="320432459">
      <w:bodyDiv w:val="1"/>
      <w:marLeft w:val="0"/>
      <w:marRight w:val="0"/>
      <w:marTop w:val="0"/>
      <w:marBottom w:val="0"/>
      <w:divBdr>
        <w:top w:val="none" w:sz="0" w:space="0" w:color="auto"/>
        <w:left w:val="none" w:sz="0" w:space="0" w:color="auto"/>
        <w:bottom w:val="none" w:sz="0" w:space="0" w:color="auto"/>
        <w:right w:val="none" w:sz="0" w:space="0" w:color="auto"/>
      </w:divBdr>
    </w:div>
    <w:div w:id="434981131">
      <w:bodyDiv w:val="1"/>
      <w:marLeft w:val="0"/>
      <w:marRight w:val="0"/>
      <w:marTop w:val="0"/>
      <w:marBottom w:val="0"/>
      <w:divBdr>
        <w:top w:val="none" w:sz="0" w:space="0" w:color="auto"/>
        <w:left w:val="none" w:sz="0" w:space="0" w:color="auto"/>
        <w:bottom w:val="none" w:sz="0" w:space="0" w:color="auto"/>
        <w:right w:val="none" w:sz="0" w:space="0" w:color="auto"/>
      </w:divBdr>
      <w:divsChild>
        <w:div w:id="725764022">
          <w:marLeft w:val="274"/>
          <w:marRight w:val="0"/>
          <w:marTop w:val="115"/>
          <w:marBottom w:val="0"/>
          <w:divBdr>
            <w:top w:val="none" w:sz="0" w:space="0" w:color="auto"/>
            <w:left w:val="none" w:sz="0" w:space="0" w:color="auto"/>
            <w:bottom w:val="none" w:sz="0" w:space="0" w:color="auto"/>
            <w:right w:val="none" w:sz="0" w:space="0" w:color="auto"/>
          </w:divBdr>
        </w:div>
        <w:div w:id="1160727959">
          <w:marLeft w:val="835"/>
          <w:marRight w:val="0"/>
          <w:marTop w:val="96"/>
          <w:marBottom w:val="0"/>
          <w:divBdr>
            <w:top w:val="none" w:sz="0" w:space="0" w:color="auto"/>
            <w:left w:val="none" w:sz="0" w:space="0" w:color="auto"/>
            <w:bottom w:val="none" w:sz="0" w:space="0" w:color="auto"/>
            <w:right w:val="none" w:sz="0" w:space="0" w:color="auto"/>
          </w:divBdr>
        </w:div>
        <w:div w:id="1739202942">
          <w:marLeft w:val="835"/>
          <w:marRight w:val="0"/>
          <w:marTop w:val="96"/>
          <w:marBottom w:val="0"/>
          <w:divBdr>
            <w:top w:val="none" w:sz="0" w:space="0" w:color="auto"/>
            <w:left w:val="none" w:sz="0" w:space="0" w:color="auto"/>
            <w:bottom w:val="none" w:sz="0" w:space="0" w:color="auto"/>
            <w:right w:val="none" w:sz="0" w:space="0" w:color="auto"/>
          </w:divBdr>
        </w:div>
        <w:div w:id="590623497">
          <w:marLeft w:val="835"/>
          <w:marRight w:val="0"/>
          <w:marTop w:val="96"/>
          <w:marBottom w:val="0"/>
          <w:divBdr>
            <w:top w:val="none" w:sz="0" w:space="0" w:color="auto"/>
            <w:left w:val="none" w:sz="0" w:space="0" w:color="auto"/>
            <w:bottom w:val="none" w:sz="0" w:space="0" w:color="auto"/>
            <w:right w:val="none" w:sz="0" w:space="0" w:color="auto"/>
          </w:divBdr>
        </w:div>
        <w:div w:id="732116685">
          <w:marLeft w:val="1411"/>
          <w:marRight w:val="0"/>
          <w:marTop w:val="86"/>
          <w:marBottom w:val="0"/>
          <w:divBdr>
            <w:top w:val="none" w:sz="0" w:space="0" w:color="auto"/>
            <w:left w:val="none" w:sz="0" w:space="0" w:color="auto"/>
            <w:bottom w:val="none" w:sz="0" w:space="0" w:color="auto"/>
            <w:right w:val="none" w:sz="0" w:space="0" w:color="auto"/>
          </w:divBdr>
        </w:div>
        <w:div w:id="474181709">
          <w:marLeft w:val="1411"/>
          <w:marRight w:val="0"/>
          <w:marTop w:val="86"/>
          <w:marBottom w:val="0"/>
          <w:divBdr>
            <w:top w:val="none" w:sz="0" w:space="0" w:color="auto"/>
            <w:left w:val="none" w:sz="0" w:space="0" w:color="auto"/>
            <w:bottom w:val="none" w:sz="0" w:space="0" w:color="auto"/>
            <w:right w:val="none" w:sz="0" w:space="0" w:color="auto"/>
          </w:divBdr>
        </w:div>
        <w:div w:id="541479788">
          <w:marLeft w:val="1973"/>
          <w:marRight w:val="0"/>
          <w:marTop w:val="86"/>
          <w:marBottom w:val="0"/>
          <w:divBdr>
            <w:top w:val="none" w:sz="0" w:space="0" w:color="auto"/>
            <w:left w:val="none" w:sz="0" w:space="0" w:color="auto"/>
            <w:bottom w:val="none" w:sz="0" w:space="0" w:color="auto"/>
            <w:right w:val="none" w:sz="0" w:space="0" w:color="auto"/>
          </w:divBdr>
        </w:div>
        <w:div w:id="1214317451">
          <w:marLeft w:val="1973"/>
          <w:marRight w:val="0"/>
          <w:marTop w:val="86"/>
          <w:marBottom w:val="0"/>
          <w:divBdr>
            <w:top w:val="none" w:sz="0" w:space="0" w:color="auto"/>
            <w:left w:val="none" w:sz="0" w:space="0" w:color="auto"/>
            <w:bottom w:val="none" w:sz="0" w:space="0" w:color="auto"/>
            <w:right w:val="none" w:sz="0" w:space="0" w:color="auto"/>
          </w:divBdr>
        </w:div>
        <w:div w:id="151944338">
          <w:marLeft w:val="835"/>
          <w:marRight w:val="0"/>
          <w:marTop w:val="96"/>
          <w:marBottom w:val="0"/>
          <w:divBdr>
            <w:top w:val="none" w:sz="0" w:space="0" w:color="auto"/>
            <w:left w:val="none" w:sz="0" w:space="0" w:color="auto"/>
            <w:bottom w:val="none" w:sz="0" w:space="0" w:color="auto"/>
            <w:right w:val="none" w:sz="0" w:space="0" w:color="auto"/>
          </w:divBdr>
        </w:div>
        <w:div w:id="801457438">
          <w:marLeft w:val="1411"/>
          <w:marRight w:val="0"/>
          <w:marTop w:val="86"/>
          <w:marBottom w:val="0"/>
          <w:divBdr>
            <w:top w:val="none" w:sz="0" w:space="0" w:color="auto"/>
            <w:left w:val="none" w:sz="0" w:space="0" w:color="auto"/>
            <w:bottom w:val="none" w:sz="0" w:space="0" w:color="auto"/>
            <w:right w:val="none" w:sz="0" w:space="0" w:color="auto"/>
          </w:divBdr>
        </w:div>
      </w:divsChild>
    </w:div>
    <w:div w:id="444813224">
      <w:bodyDiv w:val="1"/>
      <w:marLeft w:val="0"/>
      <w:marRight w:val="0"/>
      <w:marTop w:val="0"/>
      <w:marBottom w:val="0"/>
      <w:divBdr>
        <w:top w:val="none" w:sz="0" w:space="0" w:color="auto"/>
        <w:left w:val="none" w:sz="0" w:space="0" w:color="auto"/>
        <w:bottom w:val="none" w:sz="0" w:space="0" w:color="auto"/>
        <w:right w:val="none" w:sz="0" w:space="0" w:color="auto"/>
      </w:divBdr>
    </w:div>
    <w:div w:id="490289166">
      <w:bodyDiv w:val="1"/>
      <w:marLeft w:val="0"/>
      <w:marRight w:val="0"/>
      <w:marTop w:val="0"/>
      <w:marBottom w:val="0"/>
      <w:divBdr>
        <w:top w:val="none" w:sz="0" w:space="0" w:color="auto"/>
        <w:left w:val="none" w:sz="0" w:space="0" w:color="auto"/>
        <w:bottom w:val="none" w:sz="0" w:space="0" w:color="auto"/>
        <w:right w:val="none" w:sz="0" w:space="0" w:color="auto"/>
      </w:divBdr>
    </w:div>
    <w:div w:id="1018196767">
      <w:bodyDiv w:val="1"/>
      <w:marLeft w:val="0"/>
      <w:marRight w:val="0"/>
      <w:marTop w:val="0"/>
      <w:marBottom w:val="0"/>
      <w:divBdr>
        <w:top w:val="none" w:sz="0" w:space="0" w:color="auto"/>
        <w:left w:val="none" w:sz="0" w:space="0" w:color="auto"/>
        <w:bottom w:val="none" w:sz="0" w:space="0" w:color="auto"/>
        <w:right w:val="none" w:sz="0" w:space="0" w:color="auto"/>
      </w:divBdr>
      <w:divsChild>
        <w:div w:id="373967329">
          <w:marLeft w:val="274"/>
          <w:marRight w:val="0"/>
          <w:marTop w:val="115"/>
          <w:marBottom w:val="0"/>
          <w:divBdr>
            <w:top w:val="none" w:sz="0" w:space="0" w:color="auto"/>
            <w:left w:val="none" w:sz="0" w:space="0" w:color="auto"/>
            <w:bottom w:val="none" w:sz="0" w:space="0" w:color="auto"/>
            <w:right w:val="none" w:sz="0" w:space="0" w:color="auto"/>
          </w:divBdr>
        </w:div>
        <w:div w:id="2122218789">
          <w:marLeft w:val="835"/>
          <w:marRight w:val="0"/>
          <w:marTop w:val="96"/>
          <w:marBottom w:val="0"/>
          <w:divBdr>
            <w:top w:val="none" w:sz="0" w:space="0" w:color="auto"/>
            <w:left w:val="none" w:sz="0" w:space="0" w:color="auto"/>
            <w:bottom w:val="none" w:sz="0" w:space="0" w:color="auto"/>
            <w:right w:val="none" w:sz="0" w:space="0" w:color="auto"/>
          </w:divBdr>
        </w:div>
        <w:div w:id="1665544789">
          <w:marLeft w:val="835"/>
          <w:marRight w:val="0"/>
          <w:marTop w:val="96"/>
          <w:marBottom w:val="0"/>
          <w:divBdr>
            <w:top w:val="none" w:sz="0" w:space="0" w:color="auto"/>
            <w:left w:val="none" w:sz="0" w:space="0" w:color="auto"/>
            <w:bottom w:val="none" w:sz="0" w:space="0" w:color="auto"/>
            <w:right w:val="none" w:sz="0" w:space="0" w:color="auto"/>
          </w:divBdr>
        </w:div>
        <w:div w:id="1319380261">
          <w:marLeft w:val="835"/>
          <w:marRight w:val="0"/>
          <w:marTop w:val="96"/>
          <w:marBottom w:val="0"/>
          <w:divBdr>
            <w:top w:val="none" w:sz="0" w:space="0" w:color="auto"/>
            <w:left w:val="none" w:sz="0" w:space="0" w:color="auto"/>
            <w:bottom w:val="none" w:sz="0" w:space="0" w:color="auto"/>
            <w:right w:val="none" w:sz="0" w:space="0" w:color="auto"/>
          </w:divBdr>
        </w:div>
        <w:div w:id="389620245">
          <w:marLeft w:val="1411"/>
          <w:marRight w:val="0"/>
          <w:marTop w:val="86"/>
          <w:marBottom w:val="0"/>
          <w:divBdr>
            <w:top w:val="none" w:sz="0" w:space="0" w:color="auto"/>
            <w:left w:val="none" w:sz="0" w:space="0" w:color="auto"/>
            <w:bottom w:val="none" w:sz="0" w:space="0" w:color="auto"/>
            <w:right w:val="none" w:sz="0" w:space="0" w:color="auto"/>
          </w:divBdr>
        </w:div>
        <w:div w:id="162668981">
          <w:marLeft w:val="1411"/>
          <w:marRight w:val="0"/>
          <w:marTop w:val="86"/>
          <w:marBottom w:val="0"/>
          <w:divBdr>
            <w:top w:val="none" w:sz="0" w:space="0" w:color="auto"/>
            <w:left w:val="none" w:sz="0" w:space="0" w:color="auto"/>
            <w:bottom w:val="none" w:sz="0" w:space="0" w:color="auto"/>
            <w:right w:val="none" w:sz="0" w:space="0" w:color="auto"/>
          </w:divBdr>
        </w:div>
        <w:div w:id="716055341">
          <w:marLeft w:val="1973"/>
          <w:marRight w:val="0"/>
          <w:marTop w:val="86"/>
          <w:marBottom w:val="0"/>
          <w:divBdr>
            <w:top w:val="none" w:sz="0" w:space="0" w:color="auto"/>
            <w:left w:val="none" w:sz="0" w:space="0" w:color="auto"/>
            <w:bottom w:val="none" w:sz="0" w:space="0" w:color="auto"/>
            <w:right w:val="none" w:sz="0" w:space="0" w:color="auto"/>
          </w:divBdr>
        </w:div>
        <w:div w:id="866720119">
          <w:marLeft w:val="1973"/>
          <w:marRight w:val="0"/>
          <w:marTop w:val="86"/>
          <w:marBottom w:val="0"/>
          <w:divBdr>
            <w:top w:val="none" w:sz="0" w:space="0" w:color="auto"/>
            <w:left w:val="none" w:sz="0" w:space="0" w:color="auto"/>
            <w:bottom w:val="none" w:sz="0" w:space="0" w:color="auto"/>
            <w:right w:val="none" w:sz="0" w:space="0" w:color="auto"/>
          </w:divBdr>
        </w:div>
        <w:div w:id="113527967">
          <w:marLeft w:val="835"/>
          <w:marRight w:val="0"/>
          <w:marTop w:val="96"/>
          <w:marBottom w:val="0"/>
          <w:divBdr>
            <w:top w:val="none" w:sz="0" w:space="0" w:color="auto"/>
            <w:left w:val="none" w:sz="0" w:space="0" w:color="auto"/>
            <w:bottom w:val="none" w:sz="0" w:space="0" w:color="auto"/>
            <w:right w:val="none" w:sz="0" w:space="0" w:color="auto"/>
          </w:divBdr>
        </w:div>
        <w:div w:id="1341276149">
          <w:marLeft w:val="1411"/>
          <w:marRight w:val="0"/>
          <w:marTop w:val="86"/>
          <w:marBottom w:val="0"/>
          <w:divBdr>
            <w:top w:val="none" w:sz="0" w:space="0" w:color="auto"/>
            <w:left w:val="none" w:sz="0" w:space="0" w:color="auto"/>
            <w:bottom w:val="none" w:sz="0" w:space="0" w:color="auto"/>
            <w:right w:val="none" w:sz="0" w:space="0" w:color="auto"/>
          </w:divBdr>
        </w:div>
      </w:divsChild>
    </w:div>
    <w:div w:id="1437018076">
      <w:bodyDiv w:val="1"/>
      <w:marLeft w:val="0"/>
      <w:marRight w:val="0"/>
      <w:marTop w:val="0"/>
      <w:marBottom w:val="0"/>
      <w:divBdr>
        <w:top w:val="none" w:sz="0" w:space="0" w:color="auto"/>
        <w:left w:val="none" w:sz="0" w:space="0" w:color="auto"/>
        <w:bottom w:val="none" w:sz="0" w:space="0" w:color="auto"/>
        <w:right w:val="none" w:sz="0" w:space="0" w:color="auto"/>
      </w:divBdr>
    </w:div>
    <w:div w:id="1654020405">
      <w:bodyDiv w:val="1"/>
      <w:marLeft w:val="0"/>
      <w:marRight w:val="0"/>
      <w:marTop w:val="0"/>
      <w:marBottom w:val="0"/>
      <w:divBdr>
        <w:top w:val="none" w:sz="0" w:space="0" w:color="auto"/>
        <w:left w:val="none" w:sz="0" w:space="0" w:color="auto"/>
        <w:bottom w:val="none" w:sz="0" w:space="0" w:color="auto"/>
        <w:right w:val="none" w:sz="0" w:space="0" w:color="auto"/>
      </w:divBdr>
      <w:divsChild>
        <w:div w:id="1436288526">
          <w:marLeft w:val="547"/>
          <w:marRight w:val="0"/>
          <w:marTop w:val="192"/>
          <w:marBottom w:val="0"/>
          <w:divBdr>
            <w:top w:val="none" w:sz="0" w:space="0" w:color="auto"/>
            <w:left w:val="none" w:sz="0" w:space="0" w:color="auto"/>
            <w:bottom w:val="none" w:sz="0" w:space="0" w:color="auto"/>
            <w:right w:val="none" w:sz="0" w:space="0" w:color="auto"/>
          </w:divBdr>
        </w:div>
      </w:divsChild>
    </w:div>
    <w:div w:id="1856847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hyperlink" Target="https://www.arxiv.org/pdf/1606.00737.pdf"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hyperlink" Target="http://www.accelercomm.com"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hyperlink" Target="http://eprints.soton.ac.uk/399259/"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s://www.arxiv.org/pdf/1606.00737.pdf" TargetMode="External"/><Relationship Id="rId19" Type="http://schemas.openxmlformats.org/officeDocument/2006/relationships/hyperlink" Target="http://www.accelercomm.com" TargetMode="External"/><Relationship Id="rId4" Type="http://schemas.microsoft.com/office/2007/relationships/stylesWithEffects" Target="stylesWithEffects.xml"/><Relationship Id="rId9" Type="http://schemas.openxmlformats.org/officeDocument/2006/relationships/hyperlink" Target="http://eprints.soton.ac.uk/399259/" TargetMode="External"/><Relationship Id="rId14" Type="http://schemas.openxmlformats.org/officeDocument/2006/relationships/image" Target="media/image4.png"/><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674770-00CA-4A14-946C-3D0BEB693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1403</Words>
  <Characters>8000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9385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2016-08-13T00:16:00Z</dcterms:created>
  <dcterms:modified xsi:type="dcterms:W3CDTF">2016-08-13T06:20:00Z</dcterms:modified>
</cp:coreProperties>
</file>